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547E" w:rsidRPr="009E51FC" w:rsidRDefault="00D5547E" w:rsidP="004A6D2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2D1DD45D" w14:textId="77777777" w:rsidTr="4480FE28">
        <w:tc>
          <w:tcPr>
            <w:tcW w:w="2438" w:type="dxa"/>
            <w:shd w:val="clear" w:color="auto" w:fill="auto"/>
          </w:tcPr>
          <w:p w14:paraId="083A94F9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2A9EA4EF" w14:textId="2C2AD4E9" w:rsidR="00F445B1" w:rsidRPr="00F95BC9" w:rsidRDefault="10F0EAFE" w:rsidP="00471319">
            <w:pPr>
              <w:rPr>
                <w:rStyle w:val="Firstpagetablebold"/>
              </w:rPr>
            </w:pPr>
            <w:r w:rsidRPr="4480FE28">
              <w:rPr>
                <w:rStyle w:val="Firstpagetablebold"/>
              </w:rPr>
              <w:t>Finance</w:t>
            </w:r>
            <w:r w:rsidR="009F62F3">
              <w:rPr>
                <w:rStyle w:val="Firstpagetablebold"/>
              </w:rPr>
              <w:t xml:space="preserve"> and Performance</w:t>
            </w:r>
            <w:r w:rsidRPr="4480FE28">
              <w:rPr>
                <w:rStyle w:val="Firstpagetablebold"/>
              </w:rPr>
              <w:t xml:space="preserve"> Panel </w:t>
            </w:r>
          </w:p>
        </w:tc>
      </w:tr>
      <w:tr w:rsidR="00CE544A" w:rsidRPr="00975B07" w14:paraId="42BAC99F" w14:textId="77777777" w:rsidTr="4480FE28">
        <w:tc>
          <w:tcPr>
            <w:tcW w:w="2438" w:type="dxa"/>
            <w:shd w:val="clear" w:color="auto" w:fill="auto"/>
          </w:tcPr>
          <w:p w14:paraId="3101716D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E3FE805" w14:textId="682860CB" w:rsidR="00F445B1" w:rsidRPr="001356F1" w:rsidRDefault="6ED3F3BC" w:rsidP="4C231F47">
            <w:pPr>
              <w:rPr>
                <w:b/>
                <w:bCs/>
              </w:rPr>
            </w:pPr>
            <w:r w:rsidRPr="4480FE28">
              <w:rPr>
                <w:b/>
                <w:bCs/>
              </w:rPr>
              <w:t>4th December</w:t>
            </w:r>
            <w:r w:rsidR="23836005" w:rsidRPr="4480FE28">
              <w:rPr>
                <w:b/>
                <w:bCs/>
              </w:rPr>
              <w:t xml:space="preserve"> 2024</w:t>
            </w:r>
          </w:p>
        </w:tc>
      </w:tr>
      <w:tr w:rsidR="00CE544A" w:rsidRPr="00975B07" w14:paraId="511A3D05" w14:textId="77777777" w:rsidTr="4480FE28">
        <w:tc>
          <w:tcPr>
            <w:tcW w:w="2438" w:type="dxa"/>
            <w:shd w:val="clear" w:color="auto" w:fill="auto"/>
          </w:tcPr>
          <w:p w14:paraId="7D368FD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5322DA6C" w14:textId="77777777" w:rsidR="00F445B1" w:rsidRPr="001356F1" w:rsidRDefault="00804C50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Head of Financial Services</w:t>
            </w:r>
          </w:p>
        </w:tc>
      </w:tr>
      <w:tr w:rsidR="00CE544A" w:rsidRPr="00975B07" w14:paraId="7CDC33FD" w14:textId="77777777" w:rsidTr="4480FE28">
        <w:tc>
          <w:tcPr>
            <w:tcW w:w="2438" w:type="dxa"/>
            <w:shd w:val="clear" w:color="auto" w:fill="auto"/>
          </w:tcPr>
          <w:p w14:paraId="65867D8D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7A1B2F2C" w14:textId="48C26CF3" w:rsidR="00F445B1" w:rsidRPr="001356F1" w:rsidRDefault="05EF95AE" w:rsidP="008A43AA">
            <w:pPr>
              <w:rPr>
                <w:rStyle w:val="Firstpagetablebold"/>
              </w:rPr>
            </w:pPr>
            <w:r w:rsidRPr="4C231F47">
              <w:rPr>
                <w:rStyle w:val="Firstpagetablebold"/>
              </w:rPr>
              <w:t xml:space="preserve">Business Rates </w:t>
            </w:r>
            <w:r w:rsidR="07B6E487" w:rsidRPr="4C231F47">
              <w:rPr>
                <w:rStyle w:val="Firstpagetablebold"/>
              </w:rPr>
              <w:t>Administration</w:t>
            </w:r>
          </w:p>
        </w:tc>
      </w:tr>
    </w:tbl>
    <w:p w14:paraId="0A37501D" w14:textId="77777777" w:rsidR="004F20EF" w:rsidRDefault="004F20EF" w:rsidP="004A6D2F"/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2835"/>
        <w:gridCol w:w="6095"/>
      </w:tblGrid>
      <w:tr w:rsidR="00D5547E" w14:paraId="52694351" w14:textId="77777777" w:rsidTr="4C231F4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6AB8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614BF212" w14:textId="77777777" w:rsidTr="4C231F47">
        <w:trPr>
          <w:trHeight w:val="8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EDB967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  <w:p w14:paraId="5DAB6C7B" w14:textId="77777777" w:rsidR="00471319" w:rsidRDefault="00471319">
            <w:pPr>
              <w:rPr>
                <w:rStyle w:val="Firstpagetablebol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B58E3E" w14:textId="3C663743" w:rsidR="00471319" w:rsidRPr="003F383D" w:rsidRDefault="7AD04124" w:rsidP="007A2EC3">
            <w:r>
              <w:t xml:space="preserve">To provide detail on the </w:t>
            </w:r>
            <w:r w:rsidR="725756A1">
              <w:t>admi</w:t>
            </w:r>
            <w:r w:rsidR="59175D62">
              <w:t>nistration</w:t>
            </w:r>
            <w:r w:rsidR="725756A1">
              <w:t xml:space="preserve"> of Business Rates within the City.</w:t>
            </w:r>
          </w:p>
        </w:tc>
      </w:tr>
      <w:tr w:rsidR="00471319" w14:paraId="1F788127" w14:textId="77777777" w:rsidTr="4C231F47">
        <w:trPr>
          <w:trHeight w:val="53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95F34" w14:textId="77777777" w:rsidR="00471319" w:rsidRDefault="00471319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9DA01" w14:textId="487D7C8B" w:rsidR="00D57F03" w:rsidRPr="001356F1" w:rsidRDefault="004138F1" w:rsidP="000F4751">
            <w:r>
              <w:t>A w</w:t>
            </w:r>
            <w:r w:rsidR="6BD497B3">
              <w:t>ell</w:t>
            </w:r>
            <w:r>
              <w:t>-r</w:t>
            </w:r>
            <w:r w:rsidR="6BD497B3">
              <w:t>un Council</w:t>
            </w:r>
          </w:p>
        </w:tc>
      </w:tr>
      <w:tr w:rsidR="00D57F03" w14:paraId="5F0F2006" w14:textId="77777777" w:rsidTr="4C231F47">
        <w:trPr>
          <w:trHeight w:val="53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44FB" w14:textId="77777777" w:rsidR="00D57F03" w:rsidRDefault="00D57F0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A9A1" w14:textId="77777777" w:rsidR="00D57F03" w:rsidRDefault="00C42219" w:rsidP="00D57F03">
            <w:r>
              <w:t>None</w:t>
            </w:r>
          </w:p>
        </w:tc>
      </w:tr>
      <w:tr w:rsidR="005F7F7E" w:rsidRPr="00975B07" w14:paraId="069D8124" w14:textId="77777777" w:rsidTr="4C231F47">
        <w:trPr>
          <w:trHeight w:val="413"/>
        </w:trPr>
        <w:tc>
          <w:tcPr>
            <w:tcW w:w="9356" w:type="dxa"/>
            <w:gridSpan w:val="3"/>
            <w:tcBorders>
              <w:bottom w:val="single" w:sz="8" w:space="0" w:color="000000" w:themeColor="text1"/>
            </w:tcBorders>
          </w:tcPr>
          <w:p w14:paraId="3C8BE08A" w14:textId="5DC7C847" w:rsidR="005F7F7E" w:rsidRPr="00975B07" w:rsidRDefault="065A9E09" w:rsidP="4C231F47">
            <w:pPr>
              <w:rPr>
                <w:rStyle w:val="Firstpagetablebold"/>
                <w:b w:val="0"/>
              </w:rPr>
            </w:pPr>
            <w:r w:rsidRPr="4C231F47">
              <w:rPr>
                <w:rStyle w:val="Firstpagetablebold"/>
              </w:rPr>
              <w:t>Recommendation(s):</w:t>
            </w:r>
            <w:r w:rsidR="009F62F3">
              <w:rPr>
                <w:rStyle w:val="Firstpagetablebold"/>
              </w:rPr>
              <w:t xml:space="preserve"> That the Finance and Performance Panel resolves to:</w:t>
            </w:r>
          </w:p>
        </w:tc>
      </w:tr>
      <w:tr w:rsidR="0030208D" w:rsidRPr="00975B07" w14:paraId="72B1472C" w14:textId="77777777" w:rsidTr="4C231F47">
        <w:trPr>
          <w:trHeight w:val="64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</w:tcPr>
          <w:p w14:paraId="0135CBF0" w14:textId="77777777" w:rsidR="0030208D" w:rsidRPr="00975B07" w:rsidRDefault="00046D2B" w:rsidP="004A6D2F">
            <w:r w:rsidRPr="00975B07">
              <w:t>1.</w:t>
            </w:r>
          </w:p>
        </w:tc>
        <w:tc>
          <w:tcPr>
            <w:tcW w:w="8930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2E4F827C" w14:textId="504BC644" w:rsidR="0030208D" w:rsidRPr="00D31078" w:rsidRDefault="00D31078" w:rsidP="007A2EC3">
            <w:pPr>
              <w:rPr>
                <w:b/>
              </w:rPr>
            </w:pPr>
            <w:r w:rsidRPr="00D31078">
              <w:rPr>
                <w:rStyle w:val="Firstpagetablebold"/>
                <w:b w:val="0"/>
              </w:rPr>
              <w:t xml:space="preserve">Note the report </w:t>
            </w:r>
            <w:r w:rsidR="009F62F3">
              <w:rPr>
                <w:rStyle w:val="Firstpagetablebold"/>
                <w:b w:val="0"/>
              </w:rPr>
              <w:t>and agree any recommendations.</w:t>
            </w:r>
          </w:p>
        </w:tc>
      </w:tr>
    </w:tbl>
    <w:p w14:paraId="02EB378F" w14:textId="77777777" w:rsidR="00CE544A" w:rsidRPr="009E51FC" w:rsidRDefault="00CE544A" w:rsidP="004A6D2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918"/>
      </w:tblGrid>
      <w:tr w:rsidR="00966D42" w:rsidRPr="00975B07" w14:paraId="415A6A99" w14:textId="77777777" w:rsidTr="4C231F47">
        <w:tc>
          <w:tcPr>
            <w:tcW w:w="9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BF17A9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4C257AEF" w14:textId="77777777" w:rsidTr="4C231F47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65C3CA8D" w14:textId="77777777" w:rsidR="00ED5860" w:rsidRDefault="00D60809" w:rsidP="004A6D2F">
            <w:r>
              <w:t>Appendix A</w:t>
            </w:r>
          </w:p>
          <w:p w14:paraId="6A05A809" w14:textId="28B68AEA" w:rsidR="00D60809" w:rsidRPr="00975B07" w:rsidRDefault="666B5953" w:rsidP="004A6D2F">
            <w:r>
              <w:t>Appendix B</w:t>
            </w:r>
          </w:p>
        </w:tc>
        <w:tc>
          <w:tcPr>
            <w:tcW w:w="69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1B246681" w14:textId="400D838F" w:rsidR="00D60809" w:rsidRPr="001356F1" w:rsidRDefault="666B5953" w:rsidP="4C231F47">
            <w:pPr>
              <w:spacing w:line="259" w:lineRule="auto"/>
            </w:pPr>
            <w:r>
              <w:t>Billing process for Business Rates.</w:t>
            </w:r>
          </w:p>
          <w:p w14:paraId="5A39BBE3" w14:textId="2ACF834F" w:rsidR="00D60809" w:rsidRPr="001356F1" w:rsidRDefault="680913BE" w:rsidP="4C231F47">
            <w:pPr>
              <w:spacing w:line="259" w:lineRule="auto"/>
            </w:pPr>
            <w:r>
              <w:t>Collection Rates of Business Rates since 2015 to September 2024</w:t>
            </w:r>
          </w:p>
        </w:tc>
      </w:tr>
    </w:tbl>
    <w:p w14:paraId="41C8F396" w14:textId="77777777" w:rsidR="007A2EC3" w:rsidRDefault="007A2EC3" w:rsidP="004A6D2F">
      <w:pPr>
        <w:pStyle w:val="Heading1"/>
      </w:pPr>
    </w:p>
    <w:p w14:paraId="1D425973" w14:textId="77777777" w:rsidR="0040736F" w:rsidRPr="001356F1" w:rsidRDefault="00F66DCA" w:rsidP="004A6D2F">
      <w:pPr>
        <w:pStyle w:val="Heading1"/>
      </w:pPr>
      <w:r w:rsidRPr="001356F1">
        <w:t>Introduction and b</w:t>
      </w:r>
      <w:r w:rsidR="00151888" w:rsidRPr="001356F1">
        <w:t>ackground</w:t>
      </w:r>
      <w:r w:rsidR="00404032" w:rsidRPr="001356F1">
        <w:t xml:space="preserve"> </w:t>
      </w:r>
    </w:p>
    <w:p w14:paraId="4CA23880" w14:textId="7018C50A" w:rsidR="178814B8" w:rsidRDefault="12BDC2FD" w:rsidP="4480FE28">
      <w:pPr>
        <w:pStyle w:val="ListParagraph"/>
        <w:spacing w:line="259" w:lineRule="auto"/>
        <w:jc w:val="both"/>
        <w:rPr>
          <w:color w:val="000000" w:themeColor="text1"/>
        </w:rPr>
      </w:pPr>
      <w:r w:rsidRPr="4480FE28">
        <w:rPr>
          <w:color w:val="000000" w:themeColor="text1"/>
        </w:rPr>
        <w:t>Business Rates provides a significant income stream to the City and County Council. For 2024</w:t>
      </w:r>
      <w:r w:rsidR="14E8579C" w:rsidRPr="4480FE28">
        <w:rPr>
          <w:color w:val="000000" w:themeColor="text1"/>
        </w:rPr>
        <w:t>/</w:t>
      </w:r>
      <w:r w:rsidRPr="4480FE28">
        <w:rPr>
          <w:color w:val="000000" w:themeColor="text1"/>
        </w:rPr>
        <w:t>25, the total collectable debit is around £100 million</w:t>
      </w:r>
      <w:r w:rsidR="2429FC92" w:rsidRPr="4480FE28">
        <w:rPr>
          <w:color w:val="000000" w:themeColor="text1"/>
        </w:rPr>
        <w:t xml:space="preserve">. </w:t>
      </w:r>
      <w:r w:rsidRPr="4480FE28">
        <w:rPr>
          <w:color w:val="000000" w:themeColor="text1"/>
        </w:rPr>
        <w:t>This is then split between the Government (50%), the City (40%) and the County (10%)</w:t>
      </w:r>
      <w:r w:rsidR="6312969E" w:rsidRPr="4480FE28">
        <w:rPr>
          <w:color w:val="000000" w:themeColor="text1"/>
        </w:rPr>
        <w:t xml:space="preserve">. </w:t>
      </w:r>
      <w:r w:rsidRPr="4480FE28">
        <w:rPr>
          <w:color w:val="000000" w:themeColor="text1"/>
        </w:rPr>
        <w:t xml:space="preserve">Out of the City “share” a further tariff is paid over to the Government which is an amount set every year by the Government and amounts to around 70% of the </w:t>
      </w:r>
      <w:r w:rsidR="1D7A5639" w:rsidRPr="4480FE28">
        <w:rPr>
          <w:color w:val="000000" w:themeColor="text1"/>
        </w:rPr>
        <w:t>city</w:t>
      </w:r>
      <w:r w:rsidRPr="4480FE28">
        <w:rPr>
          <w:color w:val="000000" w:themeColor="text1"/>
        </w:rPr>
        <w:t xml:space="preserve"> “</w:t>
      </w:r>
      <w:r w:rsidR="54A3C722" w:rsidRPr="4480FE28">
        <w:rPr>
          <w:color w:val="000000" w:themeColor="text1"/>
        </w:rPr>
        <w:t>share". The</w:t>
      </w:r>
      <w:r w:rsidRPr="4480FE28">
        <w:rPr>
          <w:color w:val="000000" w:themeColor="text1"/>
        </w:rPr>
        <w:t xml:space="preserve"> remaining balance is then compared to the “baseline” figure, which is another figure set by the Government, and 50% of the difference is paid over to the Government</w:t>
      </w:r>
      <w:r w:rsidR="67D8FF35" w:rsidRPr="4480FE28">
        <w:rPr>
          <w:color w:val="000000" w:themeColor="text1"/>
        </w:rPr>
        <w:t xml:space="preserve">. </w:t>
      </w:r>
      <w:r w:rsidRPr="4480FE28">
        <w:rPr>
          <w:color w:val="000000" w:themeColor="text1"/>
        </w:rPr>
        <w:t xml:space="preserve">In the 2024/25 budget the estimated figure that the </w:t>
      </w:r>
      <w:r w:rsidR="2A426A35" w:rsidRPr="4480FE28">
        <w:rPr>
          <w:color w:val="000000" w:themeColor="text1"/>
        </w:rPr>
        <w:t>city</w:t>
      </w:r>
      <w:r w:rsidRPr="4480FE28">
        <w:rPr>
          <w:color w:val="000000" w:themeColor="text1"/>
        </w:rPr>
        <w:t xml:space="preserve"> would retain in relation to business rates is £1</w:t>
      </w:r>
      <w:r w:rsidR="6EEC4122" w:rsidRPr="4480FE28">
        <w:rPr>
          <w:color w:val="000000" w:themeColor="text1"/>
        </w:rPr>
        <w:t>2</w:t>
      </w:r>
      <w:r w:rsidRPr="4480FE28">
        <w:rPr>
          <w:color w:val="000000" w:themeColor="text1"/>
        </w:rPr>
        <w:t xml:space="preserve"> million</w:t>
      </w:r>
      <w:r w:rsidR="1AE5410E" w:rsidRPr="4480FE28">
        <w:rPr>
          <w:color w:val="000000" w:themeColor="text1"/>
        </w:rPr>
        <w:t xml:space="preserve"> around 1</w:t>
      </w:r>
      <w:r w:rsidR="72171E19" w:rsidRPr="4480FE28">
        <w:rPr>
          <w:color w:val="000000" w:themeColor="text1"/>
        </w:rPr>
        <w:t>2</w:t>
      </w:r>
      <w:r w:rsidR="1AE5410E" w:rsidRPr="4480FE28">
        <w:rPr>
          <w:color w:val="000000" w:themeColor="text1"/>
        </w:rPr>
        <w:t>% of the gross amount collectable.</w:t>
      </w:r>
    </w:p>
    <w:p w14:paraId="550D0027" w14:textId="77777777" w:rsidR="00A9341A" w:rsidRDefault="00A9341A" w:rsidP="00A9341A">
      <w:pPr>
        <w:pStyle w:val="ListParagraph"/>
        <w:numPr>
          <w:ilvl w:val="0"/>
          <w:numId w:val="0"/>
        </w:numPr>
        <w:spacing w:line="259" w:lineRule="auto"/>
        <w:ind w:left="360"/>
        <w:jc w:val="both"/>
        <w:rPr>
          <w:color w:val="000000" w:themeColor="text1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396"/>
        <w:gridCol w:w="2568"/>
      </w:tblGrid>
      <w:tr w:rsidR="4480FE28" w14:paraId="266DC0E3" w14:textId="77777777" w:rsidTr="4480FE28">
        <w:trPr>
          <w:trHeight w:val="300"/>
        </w:trPr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0130BE1" w14:textId="3654715F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Retained Business Rates 2025-26</w:t>
            </w:r>
          </w:p>
        </w:tc>
      </w:tr>
      <w:tr w:rsidR="4480FE28" w14:paraId="7DAD8D5C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FADACF2" w14:textId="3C938B9A" w:rsidR="4480FE28" w:rsidRDefault="4480FE28" w:rsidP="4480FE28">
            <w:pPr>
              <w:ind w:right="386"/>
              <w:jc w:val="both"/>
            </w:pPr>
            <w:r w:rsidRPr="4480FE28">
              <w:rPr>
                <w:rFonts w:eastAsia="Arial" w:cs="Arial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D6E4CC4" w14:textId="66B5376A" w:rsidR="4480FE28" w:rsidRDefault="4480FE28" w:rsidP="4480FE28">
            <w:pPr>
              <w:jc w:val="right"/>
            </w:pPr>
            <w:r w:rsidRPr="4480FE28">
              <w:rPr>
                <w:rFonts w:eastAsia="Arial" w:cs="Arial"/>
                <w:b/>
                <w:bCs/>
                <w:color w:val="000000" w:themeColor="text1"/>
              </w:rPr>
              <w:t>£million</w:t>
            </w:r>
          </w:p>
        </w:tc>
      </w:tr>
      <w:tr w:rsidR="4480FE28" w14:paraId="7CBE944F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51072" w14:textId="69B82DF9" w:rsidR="4480FE28" w:rsidRDefault="4480FE28" w:rsidP="4480FE28">
            <w:pPr>
              <w:ind w:left="34" w:right="386"/>
            </w:pPr>
            <w:r w:rsidRPr="4480FE28">
              <w:rPr>
                <w:rFonts w:eastAsia="Arial" w:cs="Arial"/>
              </w:rPr>
              <w:t>Estimated Business Rates Income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F9A14" w14:textId="7086554E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99.740</w:t>
            </w:r>
          </w:p>
        </w:tc>
      </w:tr>
      <w:tr w:rsidR="4480FE28" w14:paraId="02A17508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DAD7B" w14:textId="231F733C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>Billing Authority Share (50%)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9BB36" w14:textId="153920C5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49.746</w:t>
            </w:r>
          </w:p>
        </w:tc>
      </w:tr>
      <w:tr w:rsidR="4480FE28" w14:paraId="1017B9DC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F7047" w14:textId="20D13FCB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>Oxford City Share (80</w:t>
            </w:r>
            <w:proofErr w:type="gramStart"/>
            <w:r w:rsidRPr="4480FE28">
              <w:rPr>
                <w:rFonts w:eastAsia="Arial" w:cs="Arial"/>
              </w:rPr>
              <w:t xml:space="preserve">%)   </w:t>
            </w:r>
            <w:proofErr w:type="gramEnd"/>
            <w:r w:rsidRPr="4480FE28">
              <w:rPr>
                <w:rFonts w:eastAsia="Arial" w:cs="Arial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5C860" w14:textId="717209AF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39.796</w:t>
            </w:r>
          </w:p>
        </w:tc>
      </w:tr>
      <w:tr w:rsidR="4480FE28" w14:paraId="4381B8A2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1922D" w14:textId="4CE86AF6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>Less Tariff paid to Government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3088E" w14:textId="14241C5B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32.673</w:t>
            </w:r>
          </w:p>
        </w:tc>
      </w:tr>
      <w:tr w:rsidR="4480FE28" w14:paraId="646D4C70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819D073" w14:textId="24918A10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  <w:b/>
                <w:bCs/>
                <w:color w:val="000000" w:themeColor="text1"/>
              </w:rPr>
              <w:t>Amount remaining after tariff (A)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2A60BF4" w14:textId="24AA2551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  <w:b/>
                <w:bCs/>
                <w:color w:val="000000" w:themeColor="text1"/>
              </w:rPr>
              <w:t>12.871</w:t>
            </w:r>
          </w:p>
        </w:tc>
      </w:tr>
      <w:tr w:rsidR="4480FE28" w14:paraId="58755FFF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F24D2" w14:textId="3C02517D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 xml:space="preserve">Baseline Business Rates 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B8A85" w14:textId="3C67F309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6.986</w:t>
            </w:r>
          </w:p>
        </w:tc>
      </w:tr>
      <w:tr w:rsidR="4480FE28" w14:paraId="569ED8D5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DC1F2" w14:textId="328EBCBD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>Income above baseline (£12.871- 6.986)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00223" w14:textId="1A16F72F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5.885</w:t>
            </w:r>
          </w:p>
        </w:tc>
      </w:tr>
      <w:tr w:rsidR="4480FE28" w14:paraId="2CB6E445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C4207" w14:textId="76D8A1C4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 xml:space="preserve">Levy -50% of income above baseline </w:t>
            </w:r>
            <w:r w:rsidRPr="4480FE28">
              <w:rPr>
                <w:rFonts w:eastAsia="Arial" w:cs="Arial"/>
                <w:b/>
                <w:bCs/>
              </w:rPr>
              <w:t>(B)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AE171" w14:textId="617264A0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(2.942)</w:t>
            </w:r>
          </w:p>
        </w:tc>
      </w:tr>
      <w:tr w:rsidR="4480FE28" w14:paraId="02F52FF2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DE512" w14:textId="27ED25BC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</w:rPr>
              <w:t xml:space="preserve">S31 Grant and other </w:t>
            </w:r>
            <w:r w:rsidR="07F5AE05" w:rsidRPr="4480FE28">
              <w:rPr>
                <w:rFonts w:eastAsia="Arial" w:cs="Arial"/>
              </w:rPr>
              <w:t>adjustments (</w:t>
            </w:r>
            <w:r w:rsidRPr="4480FE28">
              <w:rPr>
                <w:rFonts w:eastAsia="Arial" w:cs="Arial"/>
                <w:b/>
                <w:bCs/>
              </w:rPr>
              <w:t>C)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E4A4B" w14:textId="7BB75D3F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</w:rPr>
              <w:t>-558</w:t>
            </w:r>
          </w:p>
        </w:tc>
      </w:tr>
      <w:tr w:rsidR="4480FE28" w14:paraId="29E2F60F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48D49" w14:textId="4D9FD7CE" w:rsidR="4480FE28" w:rsidRDefault="4480FE28" w:rsidP="4480FE28">
            <w:pPr>
              <w:spacing w:after="0"/>
            </w:pPr>
            <w:r w:rsidRPr="4480FE28">
              <w:rPr>
                <w:rFonts w:eastAsia="Arial" w:cs="Arial"/>
              </w:rPr>
              <w:t xml:space="preserve">Business Rates Distribution Group net of reserves transfer </w:t>
            </w:r>
            <w:r w:rsidRPr="4480FE28">
              <w:rPr>
                <w:rFonts w:eastAsia="Arial" w:cs="Arial"/>
                <w:b/>
                <w:bCs/>
              </w:rPr>
              <w:t>(D)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18058" w14:textId="21425EB8" w:rsidR="4480FE28" w:rsidRDefault="4480FE28" w:rsidP="4480FE28">
            <w:pPr>
              <w:spacing w:after="0"/>
              <w:jc w:val="right"/>
            </w:pPr>
            <w:r w:rsidRPr="4480FE28">
              <w:rPr>
                <w:rFonts w:eastAsia="Arial" w:cs="Arial"/>
              </w:rPr>
              <w:t>500</w:t>
            </w:r>
          </w:p>
        </w:tc>
      </w:tr>
      <w:tr w:rsidR="4480FE28" w14:paraId="6A990983" w14:textId="77777777" w:rsidTr="4480FE28">
        <w:trPr>
          <w:trHeight w:val="300"/>
        </w:trPr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0E141EF" w14:textId="46E03593" w:rsidR="4480FE28" w:rsidRDefault="4480FE28" w:rsidP="4480FE28">
            <w:pPr>
              <w:ind w:right="386"/>
            </w:pPr>
            <w:r w:rsidRPr="4480FE28">
              <w:rPr>
                <w:rFonts w:eastAsia="Arial" w:cs="Arial"/>
                <w:b/>
                <w:bCs/>
                <w:color w:val="000000" w:themeColor="text1"/>
              </w:rPr>
              <w:t>Total retained business rate income (A+B+C+D)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3FF2BCF" w14:textId="661B84CD" w:rsidR="4480FE28" w:rsidRDefault="4480FE28" w:rsidP="4480FE28">
            <w:pPr>
              <w:ind w:right="5"/>
              <w:jc w:val="right"/>
            </w:pPr>
            <w:r w:rsidRPr="4480FE28">
              <w:rPr>
                <w:rFonts w:eastAsia="Arial" w:cs="Arial"/>
                <w:b/>
                <w:bCs/>
                <w:color w:val="000000" w:themeColor="text1"/>
              </w:rPr>
              <w:t>12.810</w:t>
            </w:r>
          </w:p>
        </w:tc>
      </w:tr>
    </w:tbl>
    <w:p w14:paraId="4A352F42" w14:textId="6E4721A1" w:rsidR="4480FE28" w:rsidRDefault="4480FE28" w:rsidP="4480FE28">
      <w:pPr>
        <w:jc w:val="both"/>
        <w:rPr>
          <w:color w:val="000000" w:themeColor="text1"/>
        </w:rPr>
      </w:pPr>
    </w:p>
    <w:p w14:paraId="2A260492" w14:textId="57BAC1C2" w:rsidR="23EF0FB8" w:rsidRDefault="23EF0FB8" w:rsidP="4C231F47">
      <w:pPr>
        <w:pStyle w:val="ListParagraph"/>
        <w:jc w:val="both"/>
      </w:pPr>
      <w:bookmarkStart w:id="0" w:name="_Int_CTNXW5Vb"/>
      <w:r>
        <w:t>MHCLG</w:t>
      </w:r>
      <w:bookmarkEnd w:id="0"/>
      <w:r>
        <w:t xml:space="preserve"> (Ministry of Housing, Communities and Local Government)</w:t>
      </w:r>
      <w:r w:rsidR="341438AF">
        <w:t xml:space="preserve"> has held the responsibility for the legislation of Business Rates</w:t>
      </w:r>
      <w:r w:rsidR="0595E15A">
        <w:t xml:space="preserve"> since 1990</w:t>
      </w:r>
      <w:r w:rsidR="00307040">
        <w:t xml:space="preserve">, within its remit of the </w:t>
      </w:r>
      <w:r w:rsidR="008D3CBD">
        <w:t>Local Government Finance Act 1989</w:t>
      </w:r>
      <w:r w:rsidR="341438AF">
        <w:t>.</w:t>
      </w:r>
      <w:r w:rsidR="51546976">
        <w:t xml:space="preserve"> The VOA (Valuation Office Agency) is responsible for the </w:t>
      </w:r>
      <w:r w:rsidR="1303EF2E">
        <w:t>valuation</w:t>
      </w:r>
      <w:r w:rsidR="51546976">
        <w:t xml:space="preserve"> of </w:t>
      </w:r>
      <w:r w:rsidR="5BACB547">
        <w:t>commercial</w:t>
      </w:r>
      <w:r w:rsidR="51546976">
        <w:t xml:space="preserve"> property values and the </w:t>
      </w:r>
      <w:r w:rsidR="3DF3BF8A">
        <w:t>Check</w:t>
      </w:r>
      <w:r w:rsidR="50C6BBBC">
        <w:t xml:space="preserve"> and Challenge process for business</w:t>
      </w:r>
      <w:r w:rsidR="08032E09">
        <w:t>es</w:t>
      </w:r>
      <w:r w:rsidR="50C6BBBC">
        <w:t xml:space="preserve"> to ask for a review of the Rateable value awards to a property on the </w:t>
      </w:r>
      <w:r w:rsidR="053AC377">
        <w:t xml:space="preserve">formal </w:t>
      </w:r>
      <w:r w:rsidR="50C6BBBC">
        <w:t>Rating list</w:t>
      </w:r>
      <w:r w:rsidR="5F9448FF">
        <w:t xml:space="preserve">. </w:t>
      </w:r>
      <w:r w:rsidR="50C6BBBC">
        <w:t>Valuation Tribunals</w:t>
      </w:r>
      <w:r w:rsidR="3943C5ED">
        <w:t xml:space="preserve"> deal with the appeal process</w:t>
      </w:r>
      <w:r w:rsidR="6E870FC0">
        <w:t xml:space="preserve">. </w:t>
      </w:r>
      <w:r w:rsidR="3943C5ED">
        <w:t xml:space="preserve">Both the VOA and the Tribunal fall part of HMRC (Her Majesties Revenue and Customs) </w:t>
      </w:r>
      <w:r w:rsidR="1EF2DDDD">
        <w:t>remit</w:t>
      </w:r>
      <w:r w:rsidR="10CB1F01">
        <w:t xml:space="preserve">. </w:t>
      </w:r>
      <w:r w:rsidR="1EF2DDDD">
        <w:t xml:space="preserve">The City Council does not have any influence </w:t>
      </w:r>
      <w:r w:rsidR="1D0BCD8F">
        <w:t>on</w:t>
      </w:r>
      <w:r w:rsidR="1EF2DDDD">
        <w:t xml:space="preserve"> this process as the ‘billing </w:t>
      </w:r>
      <w:r w:rsidR="68C9A591">
        <w:t>authority</w:t>
      </w:r>
      <w:r w:rsidR="1EF2DDDD">
        <w:t xml:space="preserve">’ and only has the </w:t>
      </w:r>
      <w:r w:rsidR="2E7BAE21">
        <w:t>responsibility</w:t>
      </w:r>
      <w:r w:rsidR="0084F6DD">
        <w:t xml:space="preserve"> to correctly demand the tax after any reliefs and </w:t>
      </w:r>
      <w:r w:rsidR="47E3C2BC">
        <w:t>collected the charge.</w:t>
      </w:r>
    </w:p>
    <w:p w14:paraId="3D4AA17E" w14:textId="5B9ACCBB" w:rsidR="47E3C2BC" w:rsidRDefault="47E3C2BC" w:rsidP="4C231F47">
      <w:pPr>
        <w:pStyle w:val="ListParagraph"/>
        <w:jc w:val="both"/>
      </w:pPr>
      <w:r>
        <w:t xml:space="preserve">Business Rates (also known as NDR (Non-Domestic Rates)), applied to land or </w:t>
      </w:r>
      <w:r w:rsidR="1446EAAF">
        <w:t>buildings</w:t>
      </w:r>
      <w:r>
        <w:t xml:space="preserve"> which are ‘rated’ in the Valuation </w:t>
      </w:r>
      <w:r w:rsidR="21A74D44">
        <w:t>L</w:t>
      </w:r>
      <w:r>
        <w:t>ist</w:t>
      </w:r>
      <w:r w:rsidR="14A2840D">
        <w:t xml:space="preserve">. </w:t>
      </w:r>
      <w:r w:rsidR="4AC8F8F0">
        <w:t xml:space="preserve">Rates are paid by the occupant, </w:t>
      </w:r>
      <w:r w:rsidR="4A6BAFE6">
        <w:t>and not the owner, however when a property become</w:t>
      </w:r>
      <w:r w:rsidR="407F5303">
        <w:t>s</w:t>
      </w:r>
      <w:r w:rsidR="4A6BAFE6">
        <w:t xml:space="preserve"> vacant, then the charge becomes the responsibility of the owner.</w:t>
      </w:r>
    </w:p>
    <w:p w14:paraId="31A01015" w14:textId="260FB9E1" w:rsidR="4A6BAFE6" w:rsidRDefault="4A6BAFE6" w:rsidP="4C231F47">
      <w:pPr>
        <w:pStyle w:val="ListParagraph"/>
        <w:jc w:val="both"/>
      </w:pPr>
      <w:r>
        <w:t xml:space="preserve">Oxford </w:t>
      </w:r>
      <w:r w:rsidR="34CED0CE">
        <w:t xml:space="preserve">City Council </w:t>
      </w:r>
      <w:r>
        <w:t>has 4</w:t>
      </w:r>
      <w:r w:rsidR="500A5D9F">
        <w:t>,</w:t>
      </w:r>
      <w:r w:rsidR="46A23F9F">
        <w:t>632</w:t>
      </w:r>
      <w:r>
        <w:t xml:space="preserve"> properties</w:t>
      </w:r>
      <w:r w:rsidR="2123E70D">
        <w:t xml:space="preserve"> </w:t>
      </w:r>
      <w:r w:rsidR="77191911">
        <w:t xml:space="preserve">on </w:t>
      </w:r>
      <w:r>
        <w:t xml:space="preserve">which it charges Business </w:t>
      </w:r>
      <w:r w:rsidR="243C2F16">
        <w:t>Rates.</w:t>
      </w:r>
    </w:p>
    <w:p w14:paraId="26853818" w14:textId="6FF07677" w:rsidR="052D3765" w:rsidRDefault="052D3765" w:rsidP="4C231F47">
      <w:pPr>
        <w:pStyle w:val="Heading1"/>
        <w:spacing w:line="259" w:lineRule="auto"/>
      </w:pPr>
      <w:r>
        <w:t>De</w:t>
      </w:r>
      <w:r w:rsidR="283CB196">
        <w:t>termining</w:t>
      </w:r>
      <w:r>
        <w:t xml:space="preserve"> Liability</w:t>
      </w:r>
    </w:p>
    <w:p w14:paraId="2DC69B17" w14:textId="750B4794" w:rsidR="2D8952A5" w:rsidRDefault="2D8952A5" w:rsidP="4C231F47">
      <w:pPr>
        <w:pStyle w:val="ListParagraph"/>
        <w:jc w:val="both"/>
      </w:pPr>
      <w:r>
        <w:t xml:space="preserve">The Council </w:t>
      </w:r>
      <w:r w:rsidR="00BA0619">
        <w:t>h</w:t>
      </w:r>
      <w:r>
        <w:t xml:space="preserve">as many options to support </w:t>
      </w:r>
      <w:r w:rsidR="5FC07339">
        <w:t>it</w:t>
      </w:r>
      <w:r w:rsidR="08EEE9A1">
        <w:t>s</w:t>
      </w:r>
      <w:r>
        <w:t xml:space="preserve"> </w:t>
      </w:r>
      <w:r w:rsidR="00A01619">
        <w:t>administration</w:t>
      </w:r>
      <w:r w:rsidR="00BA0619">
        <w:t xml:space="preserve"> </w:t>
      </w:r>
      <w:r w:rsidR="00CE44D7">
        <w:t>by</w:t>
      </w:r>
      <w:r>
        <w:t xml:space="preserve"> ensuring </w:t>
      </w:r>
      <w:r w:rsidR="35A71CBD">
        <w:t>that</w:t>
      </w:r>
      <w:r>
        <w:t xml:space="preserve"> it </w:t>
      </w:r>
      <w:r w:rsidR="49CA3C8F">
        <w:t>correctly charges</w:t>
      </w:r>
      <w:r>
        <w:t xml:space="preserve"> an account</w:t>
      </w:r>
      <w:r w:rsidR="3B9E1A27">
        <w:t xml:space="preserve">. </w:t>
      </w:r>
    </w:p>
    <w:p w14:paraId="1CF3063F" w14:textId="681ADDEE" w:rsidR="44F91C10" w:rsidRDefault="11F9E6A9" w:rsidP="00D53B0E">
      <w:pPr>
        <w:pStyle w:val="ListParagraph"/>
        <w:numPr>
          <w:ilvl w:val="1"/>
          <w:numId w:val="22"/>
        </w:numPr>
        <w:spacing w:after="0"/>
        <w:jc w:val="both"/>
      </w:pPr>
      <w:r>
        <w:t>Fraud Investigation Services</w:t>
      </w:r>
    </w:p>
    <w:p w14:paraId="098BCCBB" w14:textId="43DE9CE8" w:rsidR="7441D085" w:rsidRDefault="5791ACB0" w:rsidP="00D53B0E">
      <w:pPr>
        <w:pStyle w:val="ListParagraph"/>
        <w:numPr>
          <w:ilvl w:val="1"/>
          <w:numId w:val="22"/>
        </w:numPr>
        <w:spacing w:after="0"/>
        <w:jc w:val="both"/>
      </w:pPr>
      <w:r>
        <w:t>Planning and Building Control</w:t>
      </w:r>
      <w:r w:rsidR="1385FCE5">
        <w:t xml:space="preserve"> Services</w:t>
      </w:r>
    </w:p>
    <w:p w14:paraId="2FDBD9B8" w14:textId="4F5652CF" w:rsidR="037463D9" w:rsidRDefault="073B7DA7" w:rsidP="00D53B0E">
      <w:pPr>
        <w:pStyle w:val="ListParagraph"/>
        <w:numPr>
          <w:ilvl w:val="1"/>
          <w:numId w:val="22"/>
        </w:numPr>
        <w:spacing w:after="0"/>
        <w:jc w:val="both"/>
      </w:pPr>
      <w:r>
        <w:t xml:space="preserve">Use of external consultants to undertake background </w:t>
      </w:r>
      <w:proofErr w:type="gramStart"/>
      <w:r>
        <w:t>checks</w:t>
      </w:r>
      <w:proofErr w:type="gramEnd"/>
    </w:p>
    <w:p w14:paraId="6BB0EF19" w14:textId="57F9FAF4" w:rsidR="7441D085" w:rsidRDefault="71E9C09D" w:rsidP="00D53B0E">
      <w:pPr>
        <w:pStyle w:val="ListParagraph"/>
        <w:numPr>
          <w:ilvl w:val="1"/>
          <w:numId w:val="22"/>
        </w:numPr>
        <w:spacing w:after="0"/>
        <w:jc w:val="both"/>
      </w:pPr>
      <w:r>
        <w:t xml:space="preserve">Council </w:t>
      </w:r>
      <w:r w:rsidR="256D777A">
        <w:t xml:space="preserve">tax </w:t>
      </w:r>
      <w:r w:rsidR="5791ACB0">
        <w:t>Inspector</w:t>
      </w:r>
      <w:r w:rsidR="62BA018B">
        <w:t>s</w:t>
      </w:r>
      <w:r w:rsidR="5791ACB0">
        <w:t xml:space="preserve"> within </w:t>
      </w:r>
      <w:r w:rsidR="71EBB285">
        <w:t>Financial Services</w:t>
      </w:r>
      <w:r w:rsidR="5791ACB0">
        <w:t>.</w:t>
      </w:r>
    </w:p>
    <w:p w14:paraId="20B95506" w14:textId="47E9F597" w:rsidR="7441D085" w:rsidRDefault="5791ACB0" w:rsidP="00D53B0E">
      <w:pPr>
        <w:pStyle w:val="ListParagraph"/>
        <w:numPr>
          <w:ilvl w:val="1"/>
          <w:numId w:val="22"/>
        </w:numPr>
        <w:spacing w:after="0"/>
        <w:jc w:val="both"/>
      </w:pPr>
      <w:r>
        <w:t xml:space="preserve">Data exchange with the </w:t>
      </w:r>
      <w:r w:rsidR="0787EBBC">
        <w:t>O</w:t>
      </w:r>
      <w:r>
        <w:t>wners</w:t>
      </w:r>
      <w:r w:rsidR="7E4283B1">
        <w:t xml:space="preserve"> and/or Agents</w:t>
      </w:r>
      <w:r>
        <w:t xml:space="preserve"> of the land or building.</w:t>
      </w:r>
    </w:p>
    <w:p w14:paraId="00D145DC" w14:textId="77777777" w:rsidR="005B3285" w:rsidRDefault="005B3285" w:rsidP="005B3285">
      <w:pPr>
        <w:pStyle w:val="ListParagraph"/>
        <w:numPr>
          <w:ilvl w:val="0"/>
          <w:numId w:val="0"/>
        </w:numPr>
        <w:spacing w:after="0"/>
        <w:ind w:left="1080"/>
        <w:jc w:val="both"/>
      </w:pPr>
    </w:p>
    <w:p w14:paraId="46693083" w14:textId="5E3DC951" w:rsidR="6AF6EDC3" w:rsidRDefault="6AF6EDC3" w:rsidP="4C231F47">
      <w:pPr>
        <w:pStyle w:val="ListParagraph"/>
        <w:jc w:val="both"/>
      </w:pPr>
      <w:r>
        <w:lastRenderedPageBreak/>
        <w:t xml:space="preserve">The </w:t>
      </w:r>
      <w:r w:rsidR="14A17136">
        <w:t>Local Taxation Service</w:t>
      </w:r>
      <w:r w:rsidR="3B260FA6">
        <w:t xml:space="preserve"> works closely with </w:t>
      </w:r>
      <w:r w:rsidR="5BAA048D">
        <w:t xml:space="preserve">internal </w:t>
      </w:r>
      <w:r w:rsidR="3B260FA6">
        <w:t xml:space="preserve">Planning and Building Control to maintain </w:t>
      </w:r>
      <w:r w:rsidR="633F82D8">
        <w:t>accurate</w:t>
      </w:r>
      <w:r w:rsidR="3B260FA6">
        <w:t xml:space="preserve"> record keeping</w:t>
      </w:r>
      <w:r w:rsidR="328DB5E6">
        <w:t xml:space="preserve">. </w:t>
      </w:r>
      <w:r w:rsidR="3B260FA6">
        <w:t xml:space="preserve">Any material changes to established buildings, new builds or demolition are reported to the Local Taxation service to ensure that billing is maintained and any adjustments needing </w:t>
      </w:r>
      <w:r w:rsidR="764F60D6">
        <w:t>to</w:t>
      </w:r>
      <w:r w:rsidR="3B260FA6">
        <w:t xml:space="preserve"> be reported to the VOA are made in a timely manner</w:t>
      </w:r>
      <w:r w:rsidR="767C838B">
        <w:t xml:space="preserve">. </w:t>
      </w:r>
      <w:r w:rsidR="65576384">
        <w:t>This reporting occurs monthly, in a format of data reporting and review of the council website for planning applications.</w:t>
      </w:r>
    </w:p>
    <w:p w14:paraId="038A6B1C" w14:textId="3BBC9EE2" w:rsidR="0903919D" w:rsidRDefault="0903919D" w:rsidP="4C231F47">
      <w:pPr>
        <w:pStyle w:val="ListParagraph"/>
        <w:jc w:val="both"/>
      </w:pPr>
      <w:r>
        <w:t xml:space="preserve">The Council has a contract with </w:t>
      </w:r>
      <w:r w:rsidR="2223CD98">
        <w:t xml:space="preserve">external consultants based </w:t>
      </w:r>
      <w:r>
        <w:t>on a ‘</w:t>
      </w:r>
      <w:r w:rsidR="1A1D646D">
        <w:t>finder's</w:t>
      </w:r>
      <w:r>
        <w:t xml:space="preserve"> fee’ basis, where any changes made to the Rating List</w:t>
      </w:r>
      <w:r w:rsidR="08055A1C">
        <w:t>, the council is charged a 20% fee of the Rateable Value which has been added to the total tax to be collected</w:t>
      </w:r>
      <w:r w:rsidR="5A2CB6D9">
        <w:t xml:space="preserve">. </w:t>
      </w:r>
      <w:r w:rsidR="2272762C">
        <w:t>The consultants</w:t>
      </w:r>
      <w:r w:rsidR="08055A1C">
        <w:t xml:space="preserve"> deploy drones in the city to </w:t>
      </w:r>
      <w:r w:rsidR="680E9619">
        <w:t>establish changes which an Inspector may not identify and uses other data sets, such as companies house to establish trading</w:t>
      </w:r>
      <w:r w:rsidR="03F511DA">
        <w:t xml:space="preserve">. </w:t>
      </w:r>
      <w:r w:rsidR="680E9619">
        <w:t>This contract is seen as a support contr</w:t>
      </w:r>
      <w:r w:rsidR="5E8D6643">
        <w:t xml:space="preserve">act </w:t>
      </w:r>
      <w:r w:rsidR="72853839">
        <w:t xml:space="preserve">and has had a </w:t>
      </w:r>
      <w:r w:rsidR="7FF0A51C">
        <w:t>positive</w:t>
      </w:r>
      <w:r w:rsidR="72853839">
        <w:t xml:space="preserve"> impact to council finances</w:t>
      </w:r>
      <w:r w:rsidR="24CB5D56">
        <w:t xml:space="preserve">. </w:t>
      </w:r>
      <w:r w:rsidR="77C3FA0E">
        <w:t xml:space="preserve">For 2023-24, the increase in </w:t>
      </w:r>
      <w:r w:rsidR="037CC7CB">
        <w:t>r</w:t>
      </w:r>
      <w:r w:rsidR="77C3FA0E">
        <w:t>evenue to the Council was £</w:t>
      </w:r>
      <w:r w:rsidR="058DBDE3">
        <w:t>435</w:t>
      </w:r>
      <w:r w:rsidR="1C909BF4">
        <w:t>K before any discount or exemptions</w:t>
      </w:r>
      <w:r w:rsidR="77C3FA0E">
        <w:t xml:space="preserve"> at a cost of £</w:t>
      </w:r>
      <w:r w:rsidR="56F8C490">
        <w:t>95K</w:t>
      </w:r>
      <w:r w:rsidR="20EDDA0E">
        <w:t>.</w:t>
      </w:r>
    </w:p>
    <w:p w14:paraId="3942BF22" w14:textId="2FD37E1C" w:rsidR="781F2F4D" w:rsidRDefault="781F2F4D" w:rsidP="6DBC5875">
      <w:pPr>
        <w:pStyle w:val="ListParagraph"/>
        <w:jc w:val="both"/>
      </w:pPr>
      <w:r>
        <w:t xml:space="preserve">The Councils makes use of its fraud investigation services team to undertake background checks and data matching capabilities to identify </w:t>
      </w:r>
      <w:r w:rsidR="3D57FDAF">
        <w:t>anomalies to investigate</w:t>
      </w:r>
      <w:r w:rsidR="0025194F">
        <w:t>.</w:t>
      </w:r>
    </w:p>
    <w:p w14:paraId="3C1C7473" w14:textId="0623CF80" w:rsidR="20EDDA0E" w:rsidRDefault="0D97B925" w:rsidP="4C231F47">
      <w:pPr>
        <w:pStyle w:val="ListParagraph"/>
        <w:jc w:val="both"/>
      </w:pPr>
      <w:r>
        <w:t xml:space="preserve">Covering both Council Tax and Business Rates, the role </w:t>
      </w:r>
      <w:r w:rsidR="1C9E8442">
        <w:t xml:space="preserve">of the council tax inspectors </w:t>
      </w:r>
      <w:r>
        <w:t xml:space="preserve">is to ensure that all notices are reported. </w:t>
      </w:r>
      <w:r w:rsidR="662167DB">
        <w:t>The</w:t>
      </w:r>
      <w:r>
        <w:t xml:space="preserve"> </w:t>
      </w:r>
      <w:r w:rsidR="662167DB">
        <w:t xml:space="preserve">role is more than a visiting </w:t>
      </w:r>
      <w:r w:rsidR="7B1B7C2D">
        <w:t xml:space="preserve">officer as they </w:t>
      </w:r>
      <w:r w:rsidR="662167DB">
        <w:t xml:space="preserve">give local businesses advice and guidance to navigation of the </w:t>
      </w:r>
      <w:r w:rsidR="14F50FF1">
        <w:t>Business</w:t>
      </w:r>
      <w:r w:rsidR="662167DB">
        <w:t xml:space="preserve"> Rates charges and implications to any changes that are made to a property</w:t>
      </w:r>
      <w:r w:rsidR="2DEDCE3C">
        <w:t xml:space="preserve">. </w:t>
      </w:r>
      <w:r w:rsidR="02C8DBEC">
        <w:t xml:space="preserve">Completion Notices are issued </w:t>
      </w:r>
      <w:r w:rsidR="4B47C925">
        <w:t xml:space="preserve">for new buildings, </w:t>
      </w:r>
      <w:r w:rsidR="314C6485">
        <w:t>to</w:t>
      </w:r>
      <w:r w:rsidR="4B47C925">
        <w:t xml:space="preserve"> bring them into a rating charge, as well as </w:t>
      </w:r>
      <w:r w:rsidR="2D111DE5">
        <w:t>identification</w:t>
      </w:r>
      <w:r w:rsidR="4B47C925">
        <w:t xml:space="preserve"> of split and merges within </w:t>
      </w:r>
      <w:r w:rsidR="6B40C6AF">
        <w:t>internal</w:t>
      </w:r>
      <w:r w:rsidR="4B47C925">
        <w:t xml:space="preserve"> changes</w:t>
      </w:r>
      <w:r w:rsidR="3CDB72F3">
        <w:t xml:space="preserve">. </w:t>
      </w:r>
    </w:p>
    <w:p w14:paraId="4B660AA3" w14:textId="7416CC02" w:rsidR="3F6BE1F7" w:rsidRDefault="3F6BE1F7" w:rsidP="4C231F47">
      <w:pPr>
        <w:pStyle w:val="ListParagraph"/>
        <w:jc w:val="both"/>
      </w:pPr>
      <w:r>
        <w:t xml:space="preserve">Most large companies within the </w:t>
      </w:r>
      <w:r w:rsidR="60B112A2">
        <w:t>city</w:t>
      </w:r>
      <w:r>
        <w:t xml:space="preserve"> have Rating Agents</w:t>
      </w:r>
      <w:r w:rsidR="2BDB6240">
        <w:t xml:space="preserve">. </w:t>
      </w:r>
      <w:r>
        <w:t xml:space="preserve">These are specialised </w:t>
      </w:r>
      <w:r w:rsidR="6722D36F">
        <w:t>companies</w:t>
      </w:r>
      <w:r>
        <w:t xml:space="preserve"> who report changes in </w:t>
      </w:r>
      <w:r w:rsidR="6B8C2E12">
        <w:t>occupation</w:t>
      </w:r>
      <w:r>
        <w:t xml:space="preserve"> for owners of buildings</w:t>
      </w:r>
      <w:r w:rsidR="2BDB6240">
        <w:t xml:space="preserve">. </w:t>
      </w:r>
      <w:r>
        <w:t>Most notifications to the council are made via this method of contact</w:t>
      </w:r>
      <w:r w:rsidR="28ADB168">
        <w:t xml:space="preserve">. </w:t>
      </w:r>
      <w:r w:rsidR="211E2BF7">
        <w:t>Should a property become empty, the owner then becomes liable</w:t>
      </w:r>
      <w:r w:rsidR="06A2A577">
        <w:t xml:space="preserve">. </w:t>
      </w:r>
      <w:r w:rsidR="1054AEA5">
        <w:t>It</w:t>
      </w:r>
      <w:r w:rsidR="211E2BF7">
        <w:t xml:space="preserve"> is therefore beneficial for the Agent or </w:t>
      </w:r>
      <w:r w:rsidR="6E6944DC">
        <w:t>Owner</w:t>
      </w:r>
      <w:r w:rsidR="211E2BF7">
        <w:t xml:space="preserve"> to report a change in occupation, detailing the new tenant, </w:t>
      </w:r>
      <w:r w:rsidR="68A2133F">
        <w:t>to</w:t>
      </w:r>
      <w:r w:rsidR="211E2BF7">
        <w:t xml:space="preserve"> move the charge from the owner</w:t>
      </w:r>
      <w:r w:rsidR="4E6704FC">
        <w:t>.</w:t>
      </w:r>
    </w:p>
    <w:p w14:paraId="70BE7096" w14:textId="493B29CA" w:rsidR="209DC741" w:rsidRDefault="67BB1269" w:rsidP="4480FE28">
      <w:pPr>
        <w:pStyle w:val="ListParagraph"/>
        <w:jc w:val="both"/>
      </w:pPr>
      <w:r>
        <w:t>Pop</w:t>
      </w:r>
      <w:r w:rsidR="42330291">
        <w:t>-</w:t>
      </w:r>
      <w:r>
        <w:t xml:space="preserve">up businesses are ones which </w:t>
      </w:r>
      <w:r w:rsidR="6B4D4374">
        <w:t>are short term occupation</w:t>
      </w:r>
      <w:r w:rsidR="3C67D8C4">
        <w:t xml:space="preserve">. </w:t>
      </w:r>
      <w:r w:rsidR="06A46882">
        <w:t>A pop-up is defined as a business model which is deliberately temporary, with a short term need to generate profit or ano</w:t>
      </w:r>
      <w:r w:rsidR="42924315">
        <w:t xml:space="preserve">ther goal, for example a charity to raise its profile. These are often located in buildings within the city which have been vacant for </w:t>
      </w:r>
      <w:r w:rsidR="48E88813">
        <w:t>a period</w:t>
      </w:r>
      <w:r w:rsidR="42924315">
        <w:t xml:space="preserve"> and the owner allows </w:t>
      </w:r>
      <w:r w:rsidR="729DE642">
        <w:t>a noticeably short</w:t>
      </w:r>
      <w:r w:rsidR="6E35212B">
        <w:t xml:space="preserve"> let</w:t>
      </w:r>
      <w:r w:rsidR="7532C1DC">
        <w:t>, sometimes</w:t>
      </w:r>
      <w:r w:rsidR="0E472556">
        <w:t xml:space="preserve"> specific day</w:t>
      </w:r>
      <w:r w:rsidR="6A413F86">
        <w:t>s</w:t>
      </w:r>
      <w:r w:rsidR="0E472556">
        <w:t>,</w:t>
      </w:r>
      <w:r w:rsidR="7532C1DC">
        <w:t xml:space="preserve"> weeks but not normally longer than a mo</w:t>
      </w:r>
      <w:r w:rsidR="72D89370">
        <w:t>nth.</w:t>
      </w:r>
      <w:r w:rsidR="54DB6672">
        <w:t xml:space="preserve"> </w:t>
      </w:r>
      <w:r w:rsidR="020E91C1">
        <w:t xml:space="preserve">As such the charge for </w:t>
      </w:r>
      <w:r w:rsidR="1B307433">
        <w:t>B</w:t>
      </w:r>
      <w:r w:rsidR="020E91C1">
        <w:t xml:space="preserve">usiness </w:t>
      </w:r>
      <w:r w:rsidR="1B307433">
        <w:t>R</w:t>
      </w:r>
      <w:r w:rsidR="020E91C1">
        <w:t>ates would remain with the Owner and therefore no loss to the council revenue stream.</w:t>
      </w:r>
    </w:p>
    <w:p w14:paraId="7B3F8526" w14:textId="75739A75" w:rsidR="4C231F47" w:rsidRDefault="4C231F47" w:rsidP="4C231F47">
      <w:pPr>
        <w:jc w:val="both"/>
      </w:pPr>
    </w:p>
    <w:p w14:paraId="6494C5D5" w14:textId="580E82E3" w:rsidR="5E0971FD" w:rsidRDefault="5E0971FD" w:rsidP="4C231F47">
      <w:pPr>
        <w:pStyle w:val="ListParagraph"/>
        <w:numPr>
          <w:ilvl w:val="0"/>
          <w:numId w:val="0"/>
        </w:numPr>
        <w:jc w:val="both"/>
        <w:rPr>
          <w:b/>
          <w:bCs/>
        </w:rPr>
      </w:pPr>
      <w:r w:rsidRPr="4C231F47">
        <w:rPr>
          <w:b/>
          <w:bCs/>
        </w:rPr>
        <w:t>Billing Process</w:t>
      </w:r>
    </w:p>
    <w:p w14:paraId="4035075F" w14:textId="08F4A575" w:rsidR="00617321" w:rsidRDefault="49150E72" w:rsidP="00AF0FF3">
      <w:pPr>
        <w:pStyle w:val="ListParagraph"/>
        <w:jc w:val="both"/>
      </w:pPr>
      <w:r>
        <w:t>The billing process is set out in legislation and follows t</w:t>
      </w:r>
      <w:r w:rsidR="385FD7A8">
        <w:t>he process in Appendix 1</w:t>
      </w:r>
      <w:r w:rsidR="00520CE6">
        <w:t xml:space="preserve">. </w:t>
      </w:r>
      <w:r w:rsidR="1E1370B3">
        <w:t xml:space="preserve">This is in accordance with </w:t>
      </w:r>
      <w:r w:rsidR="00742CFC">
        <w:t>the Non-Domestic Rates</w:t>
      </w:r>
      <w:r w:rsidR="00280C47">
        <w:t xml:space="preserve"> (</w:t>
      </w:r>
      <w:r w:rsidR="00617321">
        <w:t>A</w:t>
      </w:r>
      <w:r w:rsidR="00280C47">
        <w:t>dministration and Enforcement) Act 1989</w:t>
      </w:r>
      <w:r w:rsidR="00520CE6">
        <w:t xml:space="preserve">. </w:t>
      </w:r>
    </w:p>
    <w:p w14:paraId="3DEFE236" w14:textId="78102C50" w:rsidR="00280C47" w:rsidRDefault="7B0FAAB9" w:rsidP="00AF0FF3">
      <w:pPr>
        <w:pStyle w:val="ListParagraph"/>
        <w:jc w:val="both"/>
        <w:rPr>
          <w:color w:val="auto"/>
        </w:rPr>
      </w:pPr>
      <w:r w:rsidRPr="4480FE28">
        <w:rPr>
          <w:color w:val="auto"/>
        </w:rPr>
        <w:t xml:space="preserve">The Council has the discretion </w:t>
      </w:r>
      <w:r w:rsidR="410E5E9A" w:rsidRPr="4480FE28">
        <w:rPr>
          <w:color w:val="auto"/>
        </w:rPr>
        <w:t xml:space="preserve">to </w:t>
      </w:r>
      <w:r w:rsidR="28F11B0D" w:rsidRPr="4480FE28">
        <w:rPr>
          <w:color w:val="auto"/>
        </w:rPr>
        <w:t xml:space="preserve">cease </w:t>
      </w:r>
      <w:r w:rsidR="538098F4" w:rsidRPr="4480FE28">
        <w:rPr>
          <w:color w:val="auto"/>
        </w:rPr>
        <w:t xml:space="preserve">debt </w:t>
      </w:r>
      <w:r w:rsidR="28F11B0D" w:rsidRPr="4480FE28">
        <w:rPr>
          <w:color w:val="auto"/>
        </w:rPr>
        <w:t>recovery</w:t>
      </w:r>
      <w:r w:rsidR="382C281C" w:rsidRPr="4480FE28">
        <w:rPr>
          <w:color w:val="auto"/>
        </w:rPr>
        <w:t xml:space="preserve"> proceedings</w:t>
      </w:r>
      <w:r w:rsidR="28F11B0D" w:rsidRPr="4480FE28">
        <w:rPr>
          <w:color w:val="auto"/>
        </w:rPr>
        <w:t xml:space="preserve"> at </w:t>
      </w:r>
      <w:r w:rsidR="6B6772D9" w:rsidRPr="4480FE28">
        <w:rPr>
          <w:color w:val="auto"/>
        </w:rPr>
        <w:t>any</w:t>
      </w:r>
      <w:r w:rsidR="28F11B0D" w:rsidRPr="4480FE28">
        <w:rPr>
          <w:color w:val="auto"/>
        </w:rPr>
        <w:t xml:space="preserve"> stage and </w:t>
      </w:r>
      <w:r w:rsidR="6F4605C0" w:rsidRPr="4480FE28">
        <w:rPr>
          <w:color w:val="auto"/>
        </w:rPr>
        <w:t>reintroduce</w:t>
      </w:r>
      <w:r w:rsidR="28F11B0D" w:rsidRPr="4480FE28">
        <w:rPr>
          <w:color w:val="auto"/>
        </w:rPr>
        <w:t xml:space="preserve"> the standard billing schedule</w:t>
      </w:r>
      <w:r w:rsidR="0812FC78" w:rsidRPr="4480FE28">
        <w:rPr>
          <w:color w:val="auto"/>
        </w:rPr>
        <w:t xml:space="preserve">. </w:t>
      </w:r>
    </w:p>
    <w:p w14:paraId="7806D928" w14:textId="7FA6E82C" w:rsidR="00280C47" w:rsidRDefault="611502A4" w:rsidP="00AF0FF3">
      <w:pPr>
        <w:pStyle w:val="ListParagraph"/>
        <w:jc w:val="both"/>
      </w:pPr>
      <w:r>
        <w:t xml:space="preserve">The </w:t>
      </w:r>
      <w:r w:rsidR="5A698E58">
        <w:t>C</w:t>
      </w:r>
      <w:r>
        <w:t xml:space="preserve">ouncil has created a further stage of pre-summons. This is an extra opportunity for businesses </w:t>
      </w:r>
      <w:r w:rsidR="552473CC">
        <w:t xml:space="preserve">to make a single payment to </w:t>
      </w:r>
      <w:r w:rsidR="6C413893">
        <w:t xml:space="preserve">the account before </w:t>
      </w:r>
      <w:r w:rsidR="4D8773A9">
        <w:t>legal</w:t>
      </w:r>
      <w:r w:rsidR="6C413893">
        <w:t xml:space="preserve"> </w:t>
      </w:r>
      <w:r w:rsidR="6C413893">
        <w:lastRenderedPageBreak/>
        <w:t>costs are applied</w:t>
      </w:r>
      <w:r w:rsidR="0812FC78">
        <w:t xml:space="preserve">. </w:t>
      </w:r>
      <w:r w:rsidR="6C413893">
        <w:t>Contact is made via either a call or email, to inform the Ratepayer that they are about to be summoned to Magistrates Court for non-payment of the Business Rates</w:t>
      </w:r>
      <w:r w:rsidR="0812FC78">
        <w:t xml:space="preserve">. </w:t>
      </w:r>
      <w:r w:rsidR="6C413893">
        <w:t xml:space="preserve">Although there is no legal </w:t>
      </w:r>
      <w:r w:rsidR="7153BAEA">
        <w:t>requirement</w:t>
      </w:r>
      <w:r w:rsidR="6C413893">
        <w:t xml:space="preserve"> to undertake this </w:t>
      </w:r>
      <w:r w:rsidR="7153BAEA">
        <w:t>additional</w:t>
      </w:r>
      <w:r w:rsidR="6C413893">
        <w:t xml:space="preserve"> </w:t>
      </w:r>
      <w:r w:rsidR="7153BAEA">
        <w:t xml:space="preserve">process, the Council applied the same process of debt collection in </w:t>
      </w:r>
      <w:r w:rsidR="20F0B537">
        <w:t>accordance</w:t>
      </w:r>
      <w:r w:rsidR="7153BAEA">
        <w:t xml:space="preserve"> with t</w:t>
      </w:r>
      <w:r w:rsidR="20F0B537">
        <w:t>he</w:t>
      </w:r>
      <w:r w:rsidR="7153BAEA">
        <w:t xml:space="preserve"> </w:t>
      </w:r>
      <w:r w:rsidR="20F0B537">
        <w:t>Corporate</w:t>
      </w:r>
      <w:r w:rsidR="7153BAEA">
        <w:t xml:space="preserve"> Debt </w:t>
      </w:r>
      <w:r w:rsidR="20F0B537">
        <w:t>Policy for an individual.</w:t>
      </w:r>
      <w:r w:rsidR="3F552926">
        <w:t xml:space="preserve"> </w:t>
      </w:r>
      <w:r w:rsidR="2139EDB9">
        <w:t xml:space="preserve">Even after this processes there </w:t>
      </w:r>
      <w:r w:rsidR="0E020889">
        <w:t xml:space="preserve">we have issued 479 summonses </w:t>
      </w:r>
      <w:r w:rsidR="7CB4916C">
        <w:t xml:space="preserve">as </w:t>
      </w:r>
      <w:r w:rsidR="144F802E">
        <w:t>of</w:t>
      </w:r>
      <w:r w:rsidR="0E020889">
        <w:t xml:space="preserve"> the </w:t>
      </w:r>
      <w:r w:rsidR="2BD47CF7" w:rsidRPr="00C4442F">
        <w:rPr>
          <w:color w:val="000000" w:themeColor="text1"/>
        </w:rPr>
        <w:t>18th of</w:t>
      </w:r>
      <w:r w:rsidR="0E020889">
        <w:t xml:space="preserve"> October 2024</w:t>
      </w:r>
      <w:r w:rsidR="00AF0FF3">
        <w:t>.</w:t>
      </w:r>
    </w:p>
    <w:p w14:paraId="3658A697" w14:textId="77777777" w:rsidR="00C4442F" w:rsidRDefault="00C4442F" w:rsidP="00C4442F">
      <w:pPr>
        <w:pStyle w:val="ListParagraph"/>
        <w:numPr>
          <w:ilvl w:val="0"/>
          <w:numId w:val="0"/>
        </w:numPr>
        <w:ind w:left="360"/>
      </w:pPr>
    </w:p>
    <w:p w14:paraId="1CAC934C" w14:textId="48B23E14" w:rsidR="11B98BBF" w:rsidRDefault="11B98BBF" w:rsidP="00C4442F">
      <w:pPr>
        <w:pStyle w:val="ListParagraph"/>
        <w:numPr>
          <w:ilvl w:val="0"/>
          <w:numId w:val="0"/>
        </w:numPr>
        <w:tabs>
          <w:tab w:val="clear" w:pos="426"/>
        </w:tabs>
        <w:jc w:val="both"/>
        <w:rPr>
          <w:b/>
          <w:bCs/>
          <w:color w:val="auto"/>
        </w:rPr>
      </w:pPr>
      <w:r w:rsidRPr="4480FE28">
        <w:rPr>
          <w:b/>
          <w:bCs/>
          <w:color w:val="auto"/>
        </w:rPr>
        <w:t>Court Costs</w:t>
      </w:r>
    </w:p>
    <w:p w14:paraId="2EC542D3" w14:textId="0654B5F0" w:rsidR="00C4442F" w:rsidRDefault="4F448EE9" w:rsidP="00C4442F">
      <w:pPr>
        <w:pStyle w:val="ListParagraph"/>
      </w:pPr>
      <w:r>
        <w:t>Once a debt is taken to court seekin</w:t>
      </w:r>
      <w:r w:rsidR="25A41B1D">
        <w:t xml:space="preserve">g a liability order court costs </w:t>
      </w:r>
      <w:r w:rsidR="3BE8FFE0">
        <w:t xml:space="preserve">may be added to the </w:t>
      </w:r>
      <w:r w:rsidR="001ADCC3">
        <w:t>arrears</w:t>
      </w:r>
      <w:r w:rsidR="1280C9A7">
        <w:t xml:space="preserve">. </w:t>
      </w:r>
      <w:r w:rsidR="590574A7">
        <w:t xml:space="preserve">Court costs include the administrative cost of the authority together with </w:t>
      </w:r>
      <w:r w:rsidR="69AAAD30">
        <w:t>any cost incurred by the court</w:t>
      </w:r>
      <w:r w:rsidR="590574A7">
        <w:t xml:space="preserve"> </w:t>
      </w:r>
      <w:r w:rsidR="4A7E11C5">
        <w:t>a</w:t>
      </w:r>
      <w:r w:rsidR="590574A7">
        <w:t xml:space="preserve">nd are set </w:t>
      </w:r>
      <w:r w:rsidR="0DB19E0D">
        <w:t xml:space="preserve">by the authority </w:t>
      </w:r>
      <w:r w:rsidR="32424C56">
        <w:t xml:space="preserve">at </w:t>
      </w:r>
      <w:r w:rsidR="2DF3EA55">
        <w:t>the start of year</w:t>
      </w:r>
      <w:r w:rsidR="25D2E37F">
        <w:t xml:space="preserve"> by the Head of Financial Services. They </w:t>
      </w:r>
      <w:r w:rsidR="2DF3EA55">
        <w:t>can be ‘called</w:t>
      </w:r>
      <w:r w:rsidR="70D23D85">
        <w:t xml:space="preserve"> in</w:t>
      </w:r>
      <w:r w:rsidR="2DF3EA55">
        <w:t xml:space="preserve">’ by a Magistrate for review, </w:t>
      </w:r>
      <w:r w:rsidR="4AA12617">
        <w:t>if</w:t>
      </w:r>
      <w:r w:rsidR="2DF3EA55">
        <w:t xml:space="preserve"> the Court deems that they are excessively high</w:t>
      </w:r>
      <w:r w:rsidR="4C30770F">
        <w:t>.</w:t>
      </w:r>
      <w:r w:rsidR="0A4CEEF8">
        <w:t xml:space="preserve">     </w:t>
      </w:r>
    </w:p>
    <w:p w14:paraId="304FA8DE" w14:textId="77777777" w:rsidR="00C4442F" w:rsidRDefault="00C4442F" w:rsidP="00C4442F">
      <w:pPr>
        <w:pStyle w:val="ListParagraph"/>
        <w:numPr>
          <w:ilvl w:val="0"/>
          <w:numId w:val="0"/>
        </w:numPr>
        <w:ind w:left="360"/>
      </w:pPr>
    </w:p>
    <w:p w14:paraId="1BF5BA8E" w14:textId="5D0BF510" w:rsidR="6DBC5875" w:rsidRDefault="0A4CEEF8" w:rsidP="4480FE28">
      <w:pPr>
        <w:jc w:val="both"/>
        <w:rPr>
          <w:b/>
          <w:bCs/>
        </w:rPr>
      </w:pPr>
      <w:r w:rsidRPr="00C4442F">
        <w:rPr>
          <w:b/>
          <w:bCs/>
        </w:rPr>
        <w:t>Phoenix Companies</w:t>
      </w:r>
    </w:p>
    <w:p w14:paraId="68C0D403" w14:textId="59835B4C" w:rsidR="00B54386" w:rsidRDefault="49028EDE" w:rsidP="4C231F47">
      <w:pPr>
        <w:pStyle w:val="ListParagraph"/>
        <w:jc w:val="both"/>
      </w:pPr>
      <w:r>
        <w:t>Phoenix</w:t>
      </w:r>
      <w:r w:rsidR="7FD0B0B1">
        <w:t xml:space="preserve"> Companies are </w:t>
      </w:r>
      <w:r w:rsidR="2561257A">
        <w:t xml:space="preserve">entities that are created by property </w:t>
      </w:r>
      <w:r w:rsidR="723BA64D">
        <w:t>“</w:t>
      </w:r>
      <w:r w:rsidR="5639D76F">
        <w:t>owners</w:t>
      </w:r>
      <w:r w:rsidR="1738AC0D">
        <w:t>”</w:t>
      </w:r>
      <w:r w:rsidR="2561257A">
        <w:t xml:space="preserve"> for the sole purpose of </w:t>
      </w:r>
      <w:r w:rsidR="3651B095">
        <w:t>evading</w:t>
      </w:r>
      <w:r w:rsidR="2561257A">
        <w:t xml:space="preserve"> </w:t>
      </w:r>
      <w:r w:rsidR="4BF39B6B">
        <w:t>business</w:t>
      </w:r>
      <w:r w:rsidR="2561257A">
        <w:t xml:space="preserve"> rates and or </w:t>
      </w:r>
      <w:r w:rsidR="3F213F52">
        <w:t>commercial rent</w:t>
      </w:r>
      <w:r w:rsidR="7EB1DD87">
        <w:t xml:space="preserve">. These enterprises are </w:t>
      </w:r>
      <w:r w:rsidR="3A952B7A">
        <w:t>particularly</w:t>
      </w:r>
      <w:r w:rsidR="7EB1DD87">
        <w:t xml:space="preserve"> difficult to </w:t>
      </w:r>
      <w:r w:rsidR="3E27F975">
        <w:t>identify</w:t>
      </w:r>
      <w:r w:rsidR="7EB1DD87">
        <w:t xml:space="preserve">, but when they are uncovered it is possible to take legal action with a view to </w:t>
      </w:r>
      <w:r w:rsidR="4AAACE60">
        <w:t xml:space="preserve">having the charge restored to the property </w:t>
      </w:r>
      <w:r w:rsidR="46B17CB6">
        <w:t>“</w:t>
      </w:r>
      <w:r w:rsidR="4AAACE60">
        <w:t>owner</w:t>
      </w:r>
      <w:r w:rsidR="37249607">
        <w:t>”</w:t>
      </w:r>
      <w:r w:rsidR="4AAACE60">
        <w:t>.</w:t>
      </w:r>
    </w:p>
    <w:p w14:paraId="6612916D" w14:textId="084B063D" w:rsidR="00B54386" w:rsidRDefault="4639D7C0" w:rsidP="4C231F47">
      <w:pPr>
        <w:pStyle w:val="ListParagraph"/>
        <w:jc w:val="both"/>
      </w:pPr>
      <w:r>
        <w:t xml:space="preserve">The Council will apply the legislation as </w:t>
      </w:r>
      <w:r w:rsidR="0B4549EA">
        <w:t xml:space="preserve">soon as </w:t>
      </w:r>
      <w:r w:rsidR="3914B9EE">
        <w:t>possible</w:t>
      </w:r>
      <w:r w:rsidR="676672B9">
        <w:t xml:space="preserve">, but </w:t>
      </w:r>
      <w:r w:rsidR="3914B9EE">
        <w:t>often these</w:t>
      </w:r>
      <w:r w:rsidR="676672B9">
        <w:t xml:space="preserve"> companies will cease trading before the point of a Liability Order </w:t>
      </w:r>
      <w:r w:rsidR="0B4549EA">
        <w:t>to</w:t>
      </w:r>
      <w:r w:rsidR="676672B9">
        <w:t xml:space="preserve"> not allow goods to be seized</w:t>
      </w:r>
      <w:r w:rsidR="3914B9EE">
        <w:t xml:space="preserve"> by Enforcement Agents</w:t>
      </w:r>
      <w:r w:rsidR="676672B9">
        <w:t xml:space="preserve"> </w:t>
      </w:r>
      <w:r w:rsidR="3914B9EE">
        <w:t>to the value of the debt</w:t>
      </w:r>
      <w:r w:rsidR="0812FC78">
        <w:t xml:space="preserve">. </w:t>
      </w:r>
      <w:r w:rsidR="0B4549EA">
        <w:t>The assets of the business will transfer to the new business, but the debt remains with the old company which will have ceased trading and most often wound up</w:t>
      </w:r>
      <w:r w:rsidR="0812FC78">
        <w:t xml:space="preserve">. </w:t>
      </w:r>
      <w:r w:rsidR="0B4549EA">
        <w:t>This process is legal under the Companies Act</w:t>
      </w:r>
      <w:r w:rsidR="58AC32B6">
        <w:t>s</w:t>
      </w:r>
      <w:r w:rsidR="0B4549EA">
        <w:t xml:space="preserve"> and Insolvency Act</w:t>
      </w:r>
      <w:r w:rsidR="58AC32B6">
        <w:t>s and the Council</w:t>
      </w:r>
      <w:r w:rsidR="47E2CB71">
        <w:t xml:space="preserve"> will have to write the debt off as uncollectable.</w:t>
      </w:r>
      <w:r w:rsidR="0B4549EA">
        <w:t xml:space="preserve"> </w:t>
      </w:r>
    </w:p>
    <w:p w14:paraId="66F71536" w14:textId="6B9E3870" w:rsidR="004E7362" w:rsidRDefault="004E7362" w:rsidP="00684CAC">
      <w:pPr>
        <w:jc w:val="both"/>
      </w:pPr>
    </w:p>
    <w:p w14:paraId="2FE815BA" w14:textId="34C916C9" w:rsidR="00684CAC" w:rsidRPr="00B54386" w:rsidRDefault="00684CAC" w:rsidP="001623A0">
      <w:pPr>
        <w:jc w:val="both"/>
        <w:rPr>
          <w:b/>
          <w:bCs/>
        </w:rPr>
      </w:pPr>
      <w:r w:rsidRPr="00B54386">
        <w:rPr>
          <w:b/>
          <w:bCs/>
        </w:rPr>
        <w:t>Collectable Debit in Business Rates</w:t>
      </w:r>
    </w:p>
    <w:p w14:paraId="217BE3E7" w14:textId="0730A8F8" w:rsidR="00684CAC" w:rsidRDefault="5523E89E" w:rsidP="001623A0">
      <w:pPr>
        <w:pStyle w:val="ListParagraph"/>
        <w:jc w:val="both"/>
      </w:pPr>
      <w:r>
        <w:t xml:space="preserve">The Council records and </w:t>
      </w:r>
      <w:r w:rsidR="3602DD96">
        <w:t xml:space="preserve">monitors debt which is older than the </w:t>
      </w:r>
      <w:r w:rsidR="50A64608">
        <w:t xml:space="preserve">current </w:t>
      </w:r>
      <w:r w:rsidR="6E40C857">
        <w:t>fiscal</w:t>
      </w:r>
      <w:r w:rsidR="3602DD96">
        <w:t xml:space="preserve"> year. Targets are set to the current year collection as this is the traditional method of monitoring collection.</w:t>
      </w:r>
      <w:r w:rsidR="50A64608">
        <w:t xml:space="preserve"> </w:t>
      </w:r>
      <w:r w:rsidR="3602DD96">
        <w:t xml:space="preserve">However, the Revenues Service (both </w:t>
      </w:r>
      <w:r w:rsidR="678B7178">
        <w:t xml:space="preserve">Local Tax and Recovery departments) </w:t>
      </w:r>
      <w:r w:rsidR="3602DD96">
        <w:t xml:space="preserve">take the approach that all </w:t>
      </w:r>
      <w:r w:rsidR="678B7178">
        <w:t>outstanding</w:t>
      </w:r>
      <w:r w:rsidR="3602DD96">
        <w:t xml:space="preserve"> debt needs to be collected.</w:t>
      </w:r>
    </w:p>
    <w:p w14:paraId="7783EAFB" w14:textId="709E4974" w:rsidR="75FDD2A4" w:rsidRDefault="75FDD2A4" w:rsidP="4480FE28">
      <w:pPr>
        <w:pStyle w:val="ListParagraph"/>
        <w:jc w:val="both"/>
        <w:rPr>
          <w:rFonts w:eastAsia="Arial" w:cs="Arial"/>
          <w:color w:val="000000" w:themeColor="text1"/>
        </w:rPr>
      </w:pPr>
      <w:r w:rsidRPr="4480FE28">
        <w:rPr>
          <w:rFonts w:eastAsia="Arial" w:cs="Arial"/>
          <w:color w:val="000000" w:themeColor="text1"/>
        </w:rPr>
        <w:t xml:space="preserve">Collection of the tax is highly efficient with one of the highest taxes collected of all taxation in Government. The </w:t>
      </w:r>
      <w:bookmarkStart w:id="1" w:name="_Int_A7lt2wbD"/>
      <w:proofErr w:type="gramStart"/>
      <w:r w:rsidRPr="4480FE28">
        <w:rPr>
          <w:rFonts w:eastAsia="Arial" w:cs="Arial"/>
          <w:color w:val="000000" w:themeColor="text1"/>
        </w:rPr>
        <w:t>City</w:t>
      </w:r>
      <w:bookmarkEnd w:id="1"/>
      <w:proofErr w:type="gramEnd"/>
      <w:r w:rsidRPr="4480FE28">
        <w:rPr>
          <w:rFonts w:eastAsia="Arial" w:cs="Arial"/>
          <w:color w:val="000000" w:themeColor="text1"/>
        </w:rPr>
        <w:t xml:space="preserve"> collection for 2023-24</w:t>
      </w:r>
      <w:r w:rsidR="7758310F" w:rsidRPr="4480FE28">
        <w:rPr>
          <w:rFonts w:eastAsia="Arial" w:cs="Arial"/>
          <w:color w:val="000000" w:themeColor="text1"/>
        </w:rPr>
        <w:t>, as at the end of October,</w:t>
      </w:r>
      <w:r w:rsidRPr="4480FE28">
        <w:rPr>
          <w:rFonts w:eastAsia="Arial" w:cs="Arial"/>
          <w:color w:val="000000" w:themeColor="text1"/>
        </w:rPr>
        <w:t xml:space="preserve"> was 9</w:t>
      </w:r>
      <w:r w:rsidR="2BCBBED1" w:rsidRPr="4480FE28">
        <w:rPr>
          <w:rFonts w:eastAsia="Arial" w:cs="Arial"/>
          <w:color w:val="000000" w:themeColor="text1"/>
        </w:rPr>
        <w:t>8.61</w:t>
      </w:r>
      <w:r w:rsidRPr="4480FE28">
        <w:rPr>
          <w:rFonts w:eastAsia="Arial" w:cs="Arial"/>
          <w:color w:val="000000" w:themeColor="text1"/>
        </w:rPr>
        <w:t xml:space="preserve">% with the current year-to-date collection rate </w:t>
      </w:r>
      <w:r w:rsidR="5A75CE92" w:rsidRPr="4480FE28">
        <w:rPr>
          <w:rFonts w:eastAsia="Arial" w:cs="Arial"/>
          <w:color w:val="000000" w:themeColor="text1"/>
        </w:rPr>
        <w:t>of 7</w:t>
      </w:r>
      <w:r w:rsidR="68E943CC" w:rsidRPr="4480FE28">
        <w:rPr>
          <w:rFonts w:eastAsia="Arial" w:cs="Arial"/>
          <w:color w:val="000000" w:themeColor="text1"/>
        </w:rPr>
        <w:t>3</w:t>
      </w:r>
      <w:r w:rsidRPr="4480FE28">
        <w:rPr>
          <w:rFonts w:eastAsia="Arial" w:cs="Arial"/>
          <w:color w:val="000000" w:themeColor="text1"/>
        </w:rPr>
        <w:t>%</w:t>
      </w:r>
      <w:r w:rsidR="1ACDD015" w:rsidRPr="4480FE28">
        <w:rPr>
          <w:rFonts w:eastAsia="Arial" w:cs="Arial"/>
          <w:color w:val="000000" w:themeColor="text1"/>
        </w:rPr>
        <w:t xml:space="preserve">, as </w:t>
      </w:r>
      <w:r w:rsidR="28216B13" w:rsidRPr="4480FE28">
        <w:rPr>
          <w:rFonts w:eastAsia="Arial" w:cs="Arial"/>
          <w:color w:val="000000" w:themeColor="text1"/>
        </w:rPr>
        <w:t>of</w:t>
      </w:r>
      <w:r w:rsidR="1ACDD015" w:rsidRPr="4480FE28">
        <w:rPr>
          <w:rFonts w:eastAsia="Arial" w:cs="Arial"/>
          <w:color w:val="000000" w:themeColor="text1"/>
        </w:rPr>
        <w:t xml:space="preserve"> the </w:t>
      </w:r>
      <w:r w:rsidR="5DE4E453" w:rsidRPr="4480FE28">
        <w:rPr>
          <w:rFonts w:eastAsia="Arial" w:cs="Arial"/>
          <w:color w:val="000000" w:themeColor="text1"/>
        </w:rPr>
        <w:t>25th of</w:t>
      </w:r>
      <w:r w:rsidR="1ACDD015" w:rsidRPr="4480FE28">
        <w:rPr>
          <w:rFonts w:eastAsia="Arial" w:cs="Arial"/>
          <w:color w:val="000000" w:themeColor="text1"/>
        </w:rPr>
        <w:t xml:space="preserve"> </w:t>
      </w:r>
      <w:r w:rsidR="007C03C1" w:rsidRPr="4480FE28">
        <w:rPr>
          <w:rFonts w:eastAsia="Arial" w:cs="Arial"/>
          <w:color w:val="000000" w:themeColor="text1"/>
        </w:rPr>
        <w:t>November, compared</w:t>
      </w:r>
      <w:r w:rsidRPr="4480FE28">
        <w:rPr>
          <w:rFonts w:eastAsia="Arial" w:cs="Arial"/>
          <w:color w:val="000000" w:themeColor="text1"/>
        </w:rPr>
        <w:t xml:space="preserve"> to </w:t>
      </w:r>
      <w:r w:rsidR="3203C13E" w:rsidRPr="4480FE28">
        <w:rPr>
          <w:rFonts w:eastAsia="Arial" w:cs="Arial"/>
          <w:color w:val="000000" w:themeColor="text1"/>
        </w:rPr>
        <w:t>the</w:t>
      </w:r>
      <w:r w:rsidRPr="4480FE28">
        <w:rPr>
          <w:rFonts w:eastAsia="Arial" w:cs="Arial"/>
          <w:color w:val="000000" w:themeColor="text1"/>
        </w:rPr>
        <w:t xml:space="preserve"> profiled target of </w:t>
      </w:r>
      <w:r w:rsidR="1BE0A56D" w:rsidRPr="4480FE28">
        <w:rPr>
          <w:rFonts w:eastAsia="Arial" w:cs="Arial"/>
          <w:color w:val="000000" w:themeColor="text1"/>
        </w:rPr>
        <w:t>75</w:t>
      </w:r>
      <w:r w:rsidR="0A416364" w:rsidRPr="4480FE28">
        <w:rPr>
          <w:rFonts w:eastAsia="Arial" w:cs="Arial"/>
          <w:color w:val="000000" w:themeColor="text1"/>
        </w:rPr>
        <w:t>%</w:t>
      </w:r>
      <w:r w:rsidR="54679A8D" w:rsidRPr="4480FE28">
        <w:rPr>
          <w:rFonts w:eastAsia="Arial" w:cs="Arial"/>
          <w:color w:val="000000" w:themeColor="text1"/>
        </w:rPr>
        <w:t xml:space="preserve"> for the end of</w:t>
      </w:r>
      <w:r w:rsidR="33301941" w:rsidRPr="4480FE28">
        <w:rPr>
          <w:rFonts w:eastAsia="Arial" w:cs="Arial"/>
          <w:color w:val="000000" w:themeColor="text1"/>
        </w:rPr>
        <w:t xml:space="preserve"> the month</w:t>
      </w:r>
      <w:r w:rsidR="0A416364" w:rsidRPr="4480FE28">
        <w:rPr>
          <w:rFonts w:eastAsia="Arial" w:cs="Arial"/>
          <w:color w:val="000000" w:themeColor="text1"/>
        </w:rPr>
        <w:t>. The</w:t>
      </w:r>
      <w:r w:rsidR="3371F87B" w:rsidRPr="4480FE28">
        <w:rPr>
          <w:rFonts w:eastAsia="Arial" w:cs="Arial"/>
          <w:color w:val="000000" w:themeColor="text1"/>
        </w:rPr>
        <w:t xml:space="preserve"> table b</w:t>
      </w:r>
      <w:r w:rsidR="7FC1E817" w:rsidRPr="4480FE28">
        <w:rPr>
          <w:rFonts w:eastAsia="Arial" w:cs="Arial"/>
          <w:color w:val="000000" w:themeColor="text1"/>
        </w:rPr>
        <w:t>e</w:t>
      </w:r>
      <w:r w:rsidR="3371F87B" w:rsidRPr="4480FE28">
        <w:rPr>
          <w:rFonts w:eastAsia="Arial" w:cs="Arial"/>
          <w:color w:val="000000" w:themeColor="text1"/>
        </w:rPr>
        <w:t xml:space="preserve">low indicates that the authority is </w:t>
      </w:r>
      <w:r w:rsidR="2FA5218D" w:rsidRPr="4480FE28">
        <w:rPr>
          <w:rFonts w:eastAsia="Arial" w:cs="Arial"/>
          <w:color w:val="000000" w:themeColor="text1"/>
        </w:rPr>
        <w:t xml:space="preserve">consistently ahead of the mean </w:t>
      </w:r>
      <w:r w:rsidR="145C3449" w:rsidRPr="4480FE28">
        <w:rPr>
          <w:rFonts w:eastAsia="Arial" w:cs="Arial"/>
          <w:color w:val="000000" w:themeColor="text1"/>
        </w:rPr>
        <w:t xml:space="preserve">for all UK </w:t>
      </w:r>
      <w:r w:rsidR="1AA26C79" w:rsidRPr="4480FE28">
        <w:rPr>
          <w:rFonts w:eastAsia="Arial" w:cs="Arial"/>
          <w:color w:val="000000" w:themeColor="text1"/>
        </w:rPr>
        <w:t>district</w:t>
      </w:r>
      <w:r w:rsidR="145C3449" w:rsidRPr="4480FE28">
        <w:rPr>
          <w:rFonts w:eastAsia="Arial" w:cs="Arial"/>
          <w:color w:val="000000" w:themeColor="text1"/>
        </w:rPr>
        <w:t xml:space="preserve"> authorities.</w:t>
      </w:r>
    </w:p>
    <w:p w14:paraId="0C45FDB1" w14:textId="0E60DF2B" w:rsidR="2390057B" w:rsidRDefault="2390057B" w:rsidP="4480FE28">
      <w:pPr>
        <w:pStyle w:val="ListParagraph"/>
        <w:numPr>
          <w:ilvl w:val="0"/>
          <w:numId w:val="0"/>
        </w:numPr>
        <w:ind w:left="360"/>
        <w:jc w:val="both"/>
      </w:pPr>
      <w:r>
        <w:rPr>
          <w:noProof/>
        </w:rPr>
        <w:lastRenderedPageBreak/>
        <w:drawing>
          <wp:inline distT="0" distB="0" distL="0" distR="0" wp14:anchorId="40FAAD48" wp14:editId="249F87EF">
            <wp:extent cx="5314950" cy="3133725"/>
            <wp:effectExtent l="0" t="0" r="0" b="0"/>
            <wp:docPr id="503201908" name="Picture 50320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71F87B" w:rsidRPr="4480FE28">
        <w:rPr>
          <w:rFonts w:eastAsia="Arial" w:cs="Arial"/>
          <w:color w:val="000000" w:themeColor="text1"/>
        </w:rPr>
        <w:t xml:space="preserve"> </w:t>
      </w:r>
    </w:p>
    <w:p w14:paraId="78753679" w14:textId="10C318C5" w:rsidR="00AF5343" w:rsidRDefault="3602DD96" w:rsidP="4480FE28">
      <w:pPr>
        <w:pStyle w:val="ListParagraph"/>
        <w:jc w:val="both"/>
        <w:rPr>
          <w:color w:val="auto"/>
        </w:rPr>
      </w:pPr>
      <w:r w:rsidRPr="4480FE28">
        <w:rPr>
          <w:color w:val="auto"/>
        </w:rPr>
        <w:t xml:space="preserve">The table in </w:t>
      </w:r>
      <w:r w:rsidR="678B7178" w:rsidRPr="4480FE28">
        <w:rPr>
          <w:color w:val="auto"/>
        </w:rPr>
        <w:t>Appendix B shows the</w:t>
      </w:r>
      <w:r w:rsidR="2F55B2A4" w:rsidRPr="4480FE28">
        <w:rPr>
          <w:color w:val="auto"/>
        </w:rPr>
        <w:t xml:space="preserve"> amount outstanding from</w:t>
      </w:r>
      <w:r w:rsidR="7E0A6288" w:rsidRPr="4480FE28">
        <w:rPr>
          <w:color w:val="auto"/>
        </w:rPr>
        <w:t xml:space="preserve"> </w:t>
      </w:r>
      <w:r w:rsidR="4037DEFF" w:rsidRPr="4480FE28">
        <w:rPr>
          <w:color w:val="auto"/>
        </w:rPr>
        <w:t>200</w:t>
      </w:r>
      <w:r w:rsidR="3850F37F" w:rsidRPr="4480FE28">
        <w:rPr>
          <w:color w:val="auto"/>
        </w:rPr>
        <w:t>9</w:t>
      </w:r>
      <w:r w:rsidR="4037DEFF" w:rsidRPr="4480FE28">
        <w:rPr>
          <w:color w:val="auto"/>
        </w:rPr>
        <w:t>/</w:t>
      </w:r>
      <w:r w:rsidR="12F863D0" w:rsidRPr="4480FE28">
        <w:rPr>
          <w:color w:val="auto"/>
        </w:rPr>
        <w:t>10</w:t>
      </w:r>
      <w:r w:rsidR="5011F8FD" w:rsidRPr="4480FE28">
        <w:rPr>
          <w:color w:val="auto"/>
        </w:rPr>
        <w:t>.</w:t>
      </w:r>
      <w:r w:rsidR="4369EEB6" w:rsidRPr="4480FE28">
        <w:rPr>
          <w:color w:val="auto"/>
        </w:rPr>
        <w:t xml:space="preserve"> </w:t>
      </w:r>
      <w:r w:rsidR="66F373F2" w:rsidRPr="4480FE28">
        <w:rPr>
          <w:color w:val="auto"/>
        </w:rPr>
        <w:t xml:space="preserve">The total outstanding is </w:t>
      </w:r>
      <w:r w:rsidR="4369EEB6" w:rsidRPr="4480FE28">
        <w:rPr>
          <w:color w:val="auto"/>
        </w:rPr>
        <w:t xml:space="preserve">estimated at </w:t>
      </w:r>
      <w:r w:rsidR="25214406" w:rsidRPr="4480FE28">
        <w:rPr>
          <w:color w:val="auto"/>
        </w:rPr>
        <w:t>£68</w:t>
      </w:r>
      <w:r w:rsidR="50DC6440" w:rsidRPr="4480FE28">
        <w:rPr>
          <w:color w:val="auto"/>
        </w:rPr>
        <w:t>.0</w:t>
      </w:r>
      <w:r w:rsidR="25214406" w:rsidRPr="4480FE28">
        <w:rPr>
          <w:color w:val="auto"/>
        </w:rPr>
        <w:t xml:space="preserve"> million as at 31-7-2024</w:t>
      </w:r>
      <w:r w:rsidR="16715F1A" w:rsidRPr="4480FE28">
        <w:rPr>
          <w:color w:val="auto"/>
        </w:rPr>
        <w:t>.</w:t>
      </w:r>
      <w:r w:rsidR="25214406" w:rsidRPr="4480FE28">
        <w:rPr>
          <w:color w:val="auto"/>
        </w:rPr>
        <w:t xml:space="preserve"> </w:t>
      </w:r>
      <w:r w:rsidR="551227D5" w:rsidRPr="4480FE28">
        <w:rPr>
          <w:color w:val="auto"/>
        </w:rPr>
        <w:t xml:space="preserve">This includes £61.9 million for 2024/25, of which approximately £57.0 million </w:t>
      </w:r>
      <w:r w:rsidR="29974EC9" w:rsidRPr="4480FE28">
        <w:rPr>
          <w:color w:val="auto"/>
        </w:rPr>
        <w:t>is on a standard billing profile</w:t>
      </w:r>
      <w:r w:rsidR="7D75D52C" w:rsidRPr="4480FE28">
        <w:rPr>
          <w:color w:val="auto"/>
        </w:rPr>
        <w:t xml:space="preserve"> for this year which indicates the amount of collectable debt </w:t>
      </w:r>
      <w:r w:rsidR="296039E1" w:rsidRPr="4480FE28">
        <w:rPr>
          <w:color w:val="auto"/>
        </w:rPr>
        <w:t xml:space="preserve">up to the end of the </w:t>
      </w:r>
      <w:bookmarkStart w:id="2" w:name="_Int_lGaxr5Lw"/>
      <w:r w:rsidR="7D75D52C" w:rsidRPr="4480FE28">
        <w:rPr>
          <w:color w:val="auto"/>
        </w:rPr>
        <w:t xml:space="preserve">financial </w:t>
      </w:r>
      <w:r w:rsidR="2C895E07" w:rsidRPr="4480FE28">
        <w:rPr>
          <w:color w:val="auto"/>
        </w:rPr>
        <w:t>year</w:t>
      </w:r>
      <w:bookmarkEnd w:id="2"/>
      <w:r w:rsidR="2C895E07" w:rsidRPr="4480FE28">
        <w:rPr>
          <w:color w:val="auto"/>
        </w:rPr>
        <w:t xml:space="preserve"> and</w:t>
      </w:r>
      <w:r w:rsidR="14B833C4" w:rsidRPr="4480FE28">
        <w:rPr>
          <w:color w:val="auto"/>
        </w:rPr>
        <w:t xml:space="preserve"> consequently the outstanding level of debt is only around £</w:t>
      </w:r>
      <w:r w:rsidR="32C7D61D" w:rsidRPr="4480FE28">
        <w:rPr>
          <w:color w:val="auto"/>
        </w:rPr>
        <w:t>11.0</w:t>
      </w:r>
      <w:r w:rsidR="14B833C4" w:rsidRPr="4480FE28">
        <w:rPr>
          <w:color w:val="auto"/>
        </w:rPr>
        <w:t xml:space="preserve"> million</w:t>
      </w:r>
      <w:r w:rsidR="29974EC9" w:rsidRPr="4480FE28">
        <w:rPr>
          <w:color w:val="auto"/>
        </w:rPr>
        <w:t>. In antici</w:t>
      </w:r>
      <w:r w:rsidR="2A92DD07" w:rsidRPr="4480FE28">
        <w:rPr>
          <w:color w:val="auto"/>
        </w:rPr>
        <w:t>pation of any potential loss, th</w:t>
      </w:r>
      <w:r w:rsidR="2E7FA0A7" w:rsidRPr="4480FE28">
        <w:rPr>
          <w:color w:val="auto"/>
        </w:rPr>
        <w:t xml:space="preserve">e Council holds a provision for </w:t>
      </w:r>
      <w:bookmarkStart w:id="3" w:name="_Int_A47mkBVD"/>
      <w:r w:rsidR="2E7FA0A7" w:rsidRPr="4480FE28">
        <w:rPr>
          <w:color w:val="auto"/>
        </w:rPr>
        <w:t>bad debt</w:t>
      </w:r>
      <w:bookmarkEnd w:id="3"/>
      <w:r w:rsidR="2E7FA0A7" w:rsidRPr="4480FE28">
        <w:rPr>
          <w:color w:val="auto"/>
        </w:rPr>
        <w:t xml:space="preserve"> against </w:t>
      </w:r>
      <w:r w:rsidR="22C62AD3" w:rsidRPr="4480FE28">
        <w:rPr>
          <w:color w:val="auto"/>
        </w:rPr>
        <w:t xml:space="preserve">anticipated </w:t>
      </w:r>
      <w:r w:rsidR="2E7FA0A7" w:rsidRPr="4480FE28">
        <w:rPr>
          <w:color w:val="auto"/>
        </w:rPr>
        <w:t>arrears</w:t>
      </w:r>
      <w:r w:rsidR="303FE03B" w:rsidRPr="4480FE28">
        <w:rPr>
          <w:color w:val="auto"/>
        </w:rPr>
        <w:t>. A</w:t>
      </w:r>
      <w:r w:rsidR="2E7FA0A7" w:rsidRPr="4480FE28">
        <w:rPr>
          <w:color w:val="auto"/>
        </w:rPr>
        <w:t>s at 31-</w:t>
      </w:r>
      <w:r w:rsidR="32251919" w:rsidRPr="4480FE28">
        <w:rPr>
          <w:color w:val="auto"/>
        </w:rPr>
        <w:t>7</w:t>
      </w:r>
      <w:r w:rsidR="2E7FA0A7" w:rsidRPr="4480FE28">
        <w:rPr>
          <w:color w:val="auto"/>
        </w:rPr>
        <w:t>-2024</w:t>
      </w:r>
      <w:r w:rsidR="657FD35A" w:rsidRPr="4480FE28">
        <w:rPr>
          <w:color w:val="auto"/>
        </w:rPr>
        <w:t xml:space="preserve">, the level of </w:t>
      </w:r>
      <w:bookmarkStart w:id="4" w:name="_Int_FRVzneRb"/>
      <w:r w:rsidR="2C864DC5" w:rsidRPr="4480FE28">
        <w:rPr>
          <w:color w:val="auto"/>
        </w:rPr>
        <w:t>bad debt</w:t>
      </w:r>
      <w:bookmarkEnd w:id="4"/>
      <w:r w:rsidR="2C864DC5" w:rsidRPr="4480FE28">
        <w:rPr>
          <w:color w:val="auto"/>
        </w:rPr>
        <w:t xml:space="preserve"> </w:t>
      </w:r>
      <w:r w:rsidR="31CED2AF" w:rsidRPr="4480FE28">
        <w:rPr>
          <w:color w:val="auto"/>
        </w:rPr>
        <w:t>provision was</w:t>
      </w:r>
      <w:r w:rsidR="2C864DC5" w:rsidRPr="4480FE28">
        <w:rPr>
          <w:color w:val="auto"/>
        </w:rPr>
        <w:t xml:space="preserve"> </w:t>
      </w:r>
      <w:r w:rsidR="2E7FA0A7" w:rsidRPr="4480FE28">
        <w:rPr>
          <w:color w:val="auto"/>
        </w:rPr>
        <w:t>£</w:t>
      </w:r>
      <w:r w:rsidR="68879357" w:rsidRPr="4480FE28">
        <w:rPr>
          <w:color w:val="auto"/>
        </w:rPr>
        <w:t xml:space="preserve">3.5 million. </w:t>
      </w:r>
    </w:p>
    <w:p w14:paraId="644FD127" w14:textId="6BD0127B" w:rsidR="008C4A4C" w:rsidRDefault="0A04D8FD" w:rsidP="001623A0">
      <w:pPr>
        <w:pStyle w:val="ListParagraph"/>
        <w:jc w:val="both"/>
      </w:pPr>
      <w:r>
        <w:t xml:space="preserve">The colour </w:t>
      </w:r>
      <w:r w:rsidR="4C98324A">
        <w:t>coding within</w:t>
      </w:r>
      <w:r>
        <w:t xml:space="preserve"> each year shows that despite the debt </w:t>
      </w:r>
      <w:r w:rsidR="25E075DA">
        <w:t>being</w:t>
      </w:r>
      <w:r w:rsidR="290C45A1">
        <w:t xml:space="preserve"> for </w:t>
      </w:r>
      <w:r w:rsidR="282BA9DF">
        <w:t>a previous year</w:t>
      </w:r>
      <w:r w:rsidR="290C45A1">
        <w:t xml:space="preserve">, it can still change, either increased or significantly decreased. Blue denotes an increase in debt for that year, </w:t>
      </w:r>
      <w:r w:rsidR="1A2BEEDB">
        <w:t>orange</w:t>
      </w:r>
      <w:r w:rsidR="290C45A1">
        <w:t xml:space="preserve"> refers to debt that has </w:t>
      </w:r>
      <w:r w:rsidR="25E075DA">
        <w:t>remained</w:t>
      </w:r>
      <w:r w:rsidR="290C45A1">
        <w:t xml:space="preserve"> static over 2 months or more and green refers to a </w:t>
      </w:r>
      <w:r w:rsidR="5DA8346A">
        <w:t xml:space="preserve">reduction in the </w:t>
      </w:r>
      <w:r w:rsidR="226C2886">
        <w:t>amount</w:t>
      </w:r>
      <w:r w:rsidR="5DA8346A">
        <w:t xml:space="preserve"> of arrears.</w:t>
      </w:r>
    </w:p>
    <w:p w14:paraId="75ABB494" w14:textId="3128C9ED" w:rsidR="00AC61D7" w:rsidRDefault="25E075DA" w:rsidP="001623A0">
      <w:pPr>
        <w:pStyle w:val="ListParagraph"/>
        <w:jc w:val="both"/>
      </w:pPr>
      <w:r>
        <w:t>A</w:t>
      </w:r>
      <w:r w:rsidR="282BA9DF">
        <w:t xml:space="preserve"> change</w:t>
      </w:r>
      <w:r>
        <w:t xml:space="preserve"> can occur</w:t>
      </w:r>
      <w:r w:rsidR="7816D4CD">
        <w:t>,</w:t>
      </w:r>
      <w:r>
        <w:t xml:space="preserve"> as the </w:t>
      </w:r>
      <w:r w:rsidR="4E36EAD1">
        <w:t>Valuation Officer Agency (</w:t>
      </w:r>
      <w:r>
        <w:t>VOA</w:t>
      </w:r>
      <w:r w:rsidR="4FB5167A">
        <w:t>)</w:t>
      </w:r>
      <w:r>
        <w:t xml:space="preserve"> can </w:t>
      </w:r>
      <w:r w:rsidR="6E01E534">
        <w:t>increase or decrease a</w:t>
      </w:r>
      <w:r w:rsidR="59054901">
        <w:t xml:space="preserve"> rateable </w:t>
      </w:r>
      <w:r w:rsidR="6E01E534">
        <w:t xml:space="preserve">value </w:t>
      </w:r>
      <w:r w:rsidR="5D51FF2C">
        <w:t>(RV)</w:t>
      </w:r>
      <w:r w:rsidR="2E6E1B4E">
        <w:t>,</w:t>
      </w:r>
      <w:r w:rsidR="5D51FF2C">
        <w:t xml:space="preserve"> </w:t>
      </w:r>
      <w:r w:rsidR="0CF36A3E">
        <w:t xml:space="preserve">however </w:t>
      </w:r>
      <w:r w:rsidR="5B56E0B2">
        <w:t>legislation</w:t>
      </w:r>
      <w:r w:rsidR="0CF36A3E">
        <w:t xml:space="preserve"> prevent any change from being back date </w:t>
      </w:r>
      <w:r w:rsidR="0A9F8B5C">
        <w:t>further</w:t>
      </w:r>
      <w:r w:rsidR="0CF36A3E">
        <w:t xml:space="preserve"> than the </w:t>
      </w:r>
      <w:r w:rsidR="480C997F">
        <w:t>1st of</w:t>
      </w:r>
      <w:r w:rsidR="6640E56E">
        <w:t xml:space="preserve"> April </w:t>
      </w:r>
      <w:r w:rsidR="1A71718C">
        <w:t>2015 in</w:t>
      </w:r>
      <w:r w:rsidR="6E01E534">
        <w:t xml:space="preserve"> accordance </w:t>
      </w:r>
      <w:r w:rsidR="603B02E6">
        <w:t>with</w:t>
      </w:r>
      <w:r w:rsidR="6E01E534">
        <w:t xml:space="preserve"> the Check, Challenge Appeal process that </w:t>
      </w:r>
      <w:r w:rsidR="2EBBDDF7">
        <w:t>business rates payers can submit to the VOA</w:t>
      </w:r>
      <w:r w:rsidR="0812FC78">
        <w:t xml:space="preserve">. </w:t>
      </w:r>
      <w:r w:rsidR="6E01E534">
        <w:t>This can have a positive or negative impact to</w:t>
      </w:r>
      <w:r w:rsidR="5F6F1A07">
        <w:t xml:space="preserve"> </w:t>
      </w:r>
      <w:r w:rsidR="6E01E534">
        <w:t xml:space="preserve">the council finances, as reductions in RV values going back to </w:t>
      </w:r>
      <w:r w:rsidR="6CDD8447">
        <w:t>2015, can result in large credits which will need to be refunded</w:t>
      </w:r>
      <w:r w:rsidR="0812FC78">
        <w:t xml:space="preserve">. </w:t>
      </w:r>
      <w:r w:rsidR="6CDD8447">
        <w:t>An example was in July 202</w:t>
      </w:r>
      <w:r w:rsidR="0117C573">
        <w:t>3</w:t>
      </w:r>
      <w:r w:rsidR="6CDD8447">
        <w:t xml:space="preserve"> when the Ronald McDonald ward of the </w:t>
      </w:r>
      <w:r w:rsidR="5F6F1A07">
        <w:t>John Radcliff received a RV reduction resulting in a £1.2m refund</w:t>
      </w:r>
      <w:r w:rsidR="7DC8C966">
        <w:t xml:space="preserve"> with interest</w:t>
      </w:r>
      <w:r w:rsidR="0812FC78">
        <w:t xml:space="preserve">. </w:t>
      </w:r>
    </w:p>
    <w:p w14:paraId="7D04026F" w14:textId="41B107BA" w:rsidR="009C1C4B" w:rsidRDefault="002A300C" w:rsidP="001623A0">
      <w:pPr>
        <w:pStyle w:val="ListParagraph"/>
        <w:jc w:val="both"/>
      </w:pPr>
      <w:r>
        <w:t xml:space="preserve">The table shows </w:t>
      </w:r>
      <w:r w:rsidR="00D14746">
        <w:t>that in</w:t>
      </w:r>
      <w:r w:rsidR="00015596">
        <w:t xml:space="preserve"> </w:t>
      </w:r>
      <w:r w:rsidR="001E148E">
        <w:t xml:space="preserve">April </w:t>
      </w:r>
      <w:r w:rsidR="00D14746">
        <w:t xml:space="preserve">2024, significant </w:t>
      </w:r>
      <w:r w:rsidR="00586D9F">
        <w:t>debit</w:t>
      </w:r>
      <w:r w:rsidR="00D14746">
        <w:t xml:space="preserve"> was raised </w:t>
      </w:r>
      <w:r w:rsidR="00586D9F">
        <w:t>back to 2017</w:t>
      </w:r>
      <w:r w:rsidR="00520CE6">
        <w:t xml:space="preserve">. </w:t>
      </w:r>
      <w:r w:rsidR="00586D9F">
        <w:t>This is additional income to the council</w:t>
      </w:r>
      <w:r w:rsidR="00520CE6">
        <w:t xml:space="preserve">. </w:t>
      </w:r>
    </w:p>
    <w:p w14:paraId="15CD9628" w14:textId="6E1D5787" w:rsidR="007421F9" w:rsidRDefault="6FBE632C" w:rsidP="4480FE28">
      <w:pPr>
        <w:pStyle w:val="ListParagraph"/>
        <w:spacing w:line="259" w:lineRule="auto"/>
        <w:jc w:val="both"/>
        <w:rPr>
          <w:color w:val="auto"/>
        </w:rPr>
      </w:pPr>
      <w:r w:rsidRPr="4480FE28">
        <w:rPr>
          <w:color w:val="auto"/>
        </w:rPr>
        <w:t>The</w:t>
      </w:r>
      <w:r w:rsidR="2AFA1F31" w:rsidRPr="4480FE28">
        <w:rPr>
          <w:color w:val="auto"/>
        </w:rPr>
        <w:t>re</w:t>
      </w:r>
      <w:r w:rsidRPr="4480FE28">
        <w:rPr>
          <w:color w:val="auto"/>
        </w:rPr>
        <w:t xml:space="preserve"> is currently a 9</w:t>
      </w:r>
      <w:r w:rsidR="3A456CD6" w:rsidRPr="4480FE28">
        <w:rPr>
          <w:color w:val="auto"/>
        </w:rPr>
        <w:t>-</w:t>
      </w:r>
      <w:r w:rsidRPr="4480FE28">
        <w:rPr>
          <w:color w:val="auto"/>
        </w:rPr>
        <w:t xml:space="preserve">month backlog of changes to be reported to the Council following requests made to the VOA </w:t>
      </w:r>
      <w:r w:rsidR="2AFA1F31" w:rsidRPr="4480FE28">
        <w:rPr>
          <w:color w:val="auto"/>
        </w:rPr>
        <w:t>from Ratepayers</w:t>
      </w:r>
      <w:r w:rsidR="0812FC78" w:rsidRPr="4480FE28">
        <w:rPr>
          <w:color w:val="auto"/>
        </w:rPr>
        <w:t xml:space="preserve">. </w:t>
      </w:r>
      <w:r w:rsidR="11E3DD87" w:rsidRPr="4480FE28">
        <w:rPr>
          <w:color w:val="auto"/>
        </w:rPr>
        <w:t xml:space="preserve">The Council is one of many councils who has a significant backlog of referrals </w:t>
      </w:r>
      <w:r w:rsidR="3A456CD6" w:rsidRPr="4480FE28">
        <w:rPr>
          <w:color w:val="auto"/>
        </w:rPr>
        <w:t>currently</w:t>
      </w:r>
      <w:r w:rsidR="11E3DD87" w:rsidRPr="4480FE28">
        <w:rPr>
          <w:color w:val="auto"/>
        </w:rPr>
        <w:t xml:space="preserve"> whilst the VOA c</w:t>
      </w:r>
      <w:r w:rsidR="65B5EA45" w:rsidRPr="4480FE28">
        <w:rPr>
          <w:color w:val="auto"/>
        </w:rPr>
        <w:t xml:space="preserve">lear their outstanding </w:t>
      </w:r>
      <w:r w:rsidR="492E6D85" w:rsidRPr="4480FE28">
        <w:rPr>
          <w:color w:val="auto"/>
        </w:rPr>
        <w:t>workloads. It</w:t>
      </w:r>
      <w:r w:rsidR="65B5EA45" w:rsidRPr="4480FE28">
        <w:rPr>
          <w:color w:val="auto"/>
        </w:rPr>
        <w:t xml:space="preserve"> is therefore important that the service maintains </w:t>
      </w:r>
      <w:r w:rsidR="34841074" w:rsidRPr="4480FE28">
        <w:rPr>
          <w:color w:val="auto"/>
        </w:rPr>
        <w:t>records of older debt to monitor impact the collection rates for previous years.</w:t>
      </w:r>
      <w:r w:rsidR="05DB6D23" w:rsidRPr="4480FE28">
        <w:rPr>
          <w:color w:val="auto"/>
        </w:rPr>
        <w:t xml:space="preserve"> The council hold a provision in respect of </w:t>
      </w:r>
      <w:r w:rsidR="0168D748" w:rsidRPr="4480FE28">
        <w:rPr>
          <w:color w:val="auto"/>
        </w:rPr>
        <w:t xml:space="preserve">any potential VOA changes </w:t>
      </w:r>
      <w:r w:rsidR="2474FDE0" w:rsidRPr="4480FE28">
        <w:rPr>
          <w:color w:val="auto"/>
        </w:rPr>
        <w:t>because of</w:t>
      </w:r>
      <w:r w:rsidR="0168D748" w:rsidRPr="4480FE28">
        <w:rPr>
          <w:color w:val="auto"/>
        </w:rPr>
        <w:t xml:space="preserve"> the </w:t>
      </w:r>
      <w:r w:rsidR="43505BEE" w:rsidRPr="4480FE28">
        <w:rPr>
          <w:color w:val="auto"/>
        </w:rPr>
        <w:lastRenderedPageBreak/>
        <w:t>‘check/challenge</w:t>
      </w:r>
      <w:r w:rsidR="73BA767C" w:rsidRPr="4480FE28">
        <w:rPr>
          <w:color w:val="auto"/>
        </w:rPr>
        <w:t>/</w:t>
      </w:r>
      <w:r w:rsidR="43505BEE" w:rsidRPr="4480FE28">
        <w:rPr>
          <w:color w:val="auto"/>
        </w:rPr>
        <w:t>appeal</w:t>
      </w:r>
      <w:r w:rsidR="753B419C" w:rsidRPr="4480FE28">
        <w:rPr>
          <w:color w:val="auto"/>
        </w:rPr>
        <w:t>’ process</w:t>
      </w:r>
      <w:r w:rsidR="43505BEE" w:rsidRPr="4480FE28">
        <w:rPr>
          <w:color w:val="auto"/>
        </w:rPr>
        <w:t>.</w:t>
      </w:r>
      <w:r w:rsidR="05DB6D23" w:rsidRPr="4480FE28">
        <w:rPr>
          <w:color w:val="auto"/>
        </w:rPr>
        <w:t xml:space="preserve"> </w:t>
      </w:r>
      <w:r w:rsidR="35A35AE0" w:rsidRPr="4480FE28">
        <w:rPr>
          <w:color w:val="auto"/>
        </w:rPr>
        <w:t>T</w:t>
      </w:r>
      <w:r w:rsidR="05DB6D23" w:rsidRPr="4480FE28">
        <w:rPr>
          <w:color w:val="auto"/>
        </w:rPr>
        <w:t>he amount of provision</w:t>
      </w:r>
      <w:r w:rsidR="65790BB6" w:rsidRPr="4480FE28">
        <w:rPr>
          <w:color w:val="auto"/>
        </w:rPr>
        <w:t xml:space="preserve"> </w:t>
      </w:r>
      <w:r w:rsidR="084663E0" w:rsidRPr="4480FE28">
        <w:rPr>
          <w:color w:val="auto"/>
        </w:rPr>
        <w:t xml:space="preserve">for these appeals and challenges </w:t>
      </w:r>
      <w:r w:rsidR="65790BB6" w:rsidRPr="4480FE28">
        <w:rPr>
          <w:color w:val="auto"/>
        </w:rPr>
        <w:t>as at 31-7-2024</w:t>
      </w:r>
      <w:r w:rsidR="05DB6D23" w:rsidRPr="4480FE28">
        <w:rPr>
          <w:color w:val="auto"/>
        </w:rPr>
        <w:t xml:space="preserve"> based on</w:t>
      </w:r>
      <w:r w:rsidR="2991C2E1" w:rsidRPr="4480FE28">
        <w:rPr>
          <w:color w:val="auto"/>
        </w:rPr>
        <w:t xml:space="preserve"> advice from external consultants is </w:t>
      </w:r>
      <w:r w:rsidR="782E38AC" w:rsidRPr="4480FE28">
        <w:rPr>
          <w:color w:val="auto"/>
        </w:rPr>
        <w:t>approximately</w:t>
      </w:r>
      <w:r w:rsidR="186D7BAA" w:rsidRPr="4480FE28">
        <w:rPr>
          <w:color w:val="auto"/>
        </w:rPr>
        <w:t xml:space="preserve"> £9.9 million</w:t>
      </w:r>
      <w:r w:rsidR="48015C40" w:rsidRPr="4480FE28">
        <w:rPr>
          <w:color w:val="auto"/>
        </w:rPr>
        <w:t xml:space="preserve">. </w:t>
      </w:r>
    </w:p>
    <w:p w14:paraId="6B67A550" w14:textId="77777777" w:rsidR="007825F6" w:rsidRDefault="007825F6" w:rsidP="4C231F47">
      <w:pPr>
        <w:pStyle w:val="ListParagraph"/>
        <w:numPr>
          <w:ilvl w:val="0"/>
          <w:numId w:val="0"/>
        </w:numPr>
        <w:jc w:val="both"/>
        <w:rPr>
          <w:b/>
          <w:bCs/>
        </w:rPr>
      </w:pPr>
    </w:p>
    <w:p w14:paraId="62486C05" w14:textId="03F3DF9B" w:rsidR="002329CF" w:rsidRPr="001356F1" w:rsidRDefault="12036BB5" w:rsidP="4480FE28">
      <w:pPr>
        <w:jc w:val="both"/>
        <w:rPr>
          <w:b/>
          <w:bCs/>
        </w:rPr>
      </w:pPr>
      <w:r w:rsidRPr="4480FE28">
        <w:rPr>
          <w:b/>
          <w:bCs/>
        </w:rPr>
        <w:t xml:space="preserve">Cost of Collection </w:t>
      </w:r>
    </w:p>
    <w:p w14:paraId="04AEF9A9" w14:textId="1D52A80C" w:rsidR="12036BB5" w:rsidRDefault="12036BB5" w:rsidP="00D53B0E">
      <w:pPr>
        <w:pStyle w:val="ListParagraph"/>
      </w:pPr>
      <w:r>
        <w:t xml:space="preserve">The total cost of the administering </w:t>
      </w:r>
      <w:r w:rsidR="711BDCDC">
        <w:t xml:space="preserve">council tax and </w:t>
      </w:r>
      <w:r>
        <w:t>bu</w:t>
      </w:r>
      <w:r w:rsidR="6B8C8E02">
        <w:t xml:space="preserve">siness rates by Financial Services is estimated </w:t>
      </w:r>
      <w:r w:rsidR="12972A81">
        <w:t>at</w:t>
      </w:r>
      <w:r w:rsidR="43CA0D88">
        <w:t xml:space="preserve"> £</w:t>
      </w:r>
      <w:r w:rsidR="0ED8AC94">
        <w:t>941</w:t>
      </w:r>
      <w:r w:rsidR="4AB050CC">
        <w:t>k</w:t>
      </w:r>
      <w:r w:rsidR="736F14E9">
        <w:t xml:space="preserve"> </w:t>
      </w:r>
      <w:r w:rsidR="39CFC49C">
        <w:t>f</w:t>
      </w:r>
      <w:r w:rsidR="6B8C8E02">
        <w:t>or 202</w:t>
      </w:r>
      <w:r w:rsidR="43161B58">
        <w:t>4</w:t>
      </w:r>
      <w:r w:rsidR="6B8C8E02">
        <w:t>-2</w:t>
      </w:r>
      <w:r w:rsidR="757095F7">
        <w:t>5</w:t>
      </w:r>
      <w:r w:rsidR="6B8C8E02">
        <w:t xml:space="preserve">. </w:t>
      </w:r>
      <w:r w:rsidR="119EE57B">
        <w:t xml:space="preserve">This pays for around 23 </w:t>
      </w:r>
      <w:r w:rsidR="6ADB530E">
        <w:t>full time empl</w:t>
      </w:r>
      <w:r w:rsidR="7F585CB1">
        <w:t>o</w:t>
      </w:r>
      <w:r w:rsidR="6ADB530E">
        <w:t>yees</w:t>
      </w:r>
      <w:r w:rsidR="119EE57B">
        <w:t xml:space="preserve"> </w:t>
      </w:r>
      <w:r w:rsidR="6105FC1A">
        <w:t>together with associ</w:t>
      </w:r>
      <w:r w:rsidR="58AE5BDA">
        <w:t>a</w:t>
      </w:r>
      <w:r w:rsidR="6105FC1A">
        <w:t>ted costs</w:t>
      </w:r>
      <w:r w:rsidR="70B5CC98">
        <w:t xml:space="preserve">. </w:t>
      </w:r>
      <w:r w:rsidR="57A3E6FE">
        <w:t xml:space="preserve">The authority </w:t>
      </w:r>
      <w:r w:rsidR="4AC53F58">
        <w:t>can</w:t>
      </w:r>
      <w:r w:rsidR="70B5CC98">
        <w:t xml:space="preserve"> </w:t>
      </w:r>
      <w:r w:rsidR="3913B5E7">
        <w:t>offset these</w:t>
      </w:r>
      <w:r w:rsidR="70B5CC98">
        <w:t xml:space="preserve"> costs </w:t>
      </w:r>
      <w:r w:rsidR="6AA459F4">
        <w:t xml:space="preserve">by court cost income estimated at </w:t>
      </w:r>
      <w:r w:rsidR="023FC40D">
        <w:t xml:space="preserve">around £260k and a cost of collection grant from the Government </w:t>
      </w:r>
      <w:r w:rsidR="6FF07710">
        <w:t xml:space="preserve">claimable </w:t>
      </w:r>
      <w:r w:rsidR="6A516045">
        <w:t xml:space="preserve">via our NNDR claims </w:t>
      </w:r>
      <w:r w:rsidR="32FD938C">
        <w:t xml:space="preserve">which for 2024-25 </w:t>
      </w:r>
      <w:r w:rsidR="4331BAEA">
        <w:t>was £</w:t>
      </w:r>
      <w:r w:rsidR="198ABA35">
        <w:t>232k</w:t>
      </w:r>
      <w:r w:rsidR="589E3F75">
        <w:t>.</w:t>
      </w:r>
      <w:r w:rsidR="0DB31C59">
        <w:t xml:space="preserve"> </w:t>
      </w:r>
      <w:r w:rsidR="5E3E3126">
        <w:t>The net cost of the service is estimated at £</w:t>
      </w:r>
      <w:r w:rsidR="6FD8E61E">
        <w:t>426k per annum a</w:t>
      </w:r>
      <w:r w:rsidR="5E3E3126">
        <w:t xml:space="preserve">nd excluding council tax </w:t>
      </w:r>
      <w:r w:rsidR="0D5D82D0">
        <w:t>administration</w:t>
      </w:r>
      <w:r w:rsidR="5E3E3126">
        <w:t xml:space="preserve"> would be </w:t>
      </w:r>
      <w:r w:rsidR="09804227">
        <w:t>break-even</w:t>
      </w:r>
      <w:r w:rsidR="7B7A6DDB">
        <w:t xml:space="preserve"> notwithstanding that courts cost income is a variable income. </w:t>
      </w:r>
    </w:p>
    <w:p w14:paraId="32057276" w14:textId="77777777" w:rsidR="00D53B0E" w:rsidRDefault="00D53B0E" w:rsidP="00D53B0E"/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1A6FE9DC" w14:textId="77777777" w:rsidTr="4480FE28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3198060" w14:textId="4C4B0D37" w:rsidR="00E87F7A" w:rsidRPr="001356F1" w:rsidRDefault="79547AD2" w:rsidP="4480FE28">
            <w:pPr>
              <w:rPr>
                <w:b/>
                <w:bCs/>
              </w:rPr>
            </w:pPr>
            <w:r w:rsidRPr="4480FE28">
              <w:rPr>
                <w:b/>
                <w:bCs/>
              </w:rPr>
              <w:t>Report aut</w:t>
            </w:r>
            <w:r w:rsidR="5A23BAE0" w:rsidRPr="4480FE28">
              <w:rPr>
                <w:b/>
                <w:bCs/>
              </w:rPr>
              <w:t>hor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42C828" w14:textId="77777777" w:rsidR="00E87F7A" w:rsidRPr="001356F1" w:rsidRDefault="00D31078" w:rsidP="00A46E98">
            <w:r>
              <w:t xml:space="preserve">Laura </w:t>
            </w:r>
            <w:proofErr w:type="spellStart"/>
            <w:r>
              <w:t>Bessell</w:t>
            </w:r>
            <w:proofErr w:type="spellEnd"/>
          </w:p>
        </w:tc>
      </w:tr>
      <w:tr w:rsidR="00DF093E" w:rsidRPr="001356F1" w14:paraId="7B42341A" w14:textId="77777777" w:rsidTr="4480FE28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5F4D2911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2CF5E191" w14:textId="1693446A" w:rsidR="00E87F7A" w:rsidRPr="001356F1" w:rsidRDefault="08AF26AA" w:rsidP="00A46E98">
            <w:r>
              <w:t xml:space="preserve">Local Tax &amp; </w:t>
            </w:r>
            <w:r w:rsidR="00D31078">
              <w:t xml:space="preserve">Benefit </w:t>
            </w:r>
            <w:r w:rsidR="7FB4B64E">
              <w:t xml:space="preserve">Service Delivery </w:t>
            </w:r>
            <w:r w:rsidR="00D31078">
              <w:t>Manager</w:t>
            </w:r>
          </w:p>
        </w:tc>
      </w:tr>
      <w:tr w:rsidR="00DF093E" w:rsidRPr="001356F1" w14:paraId="33ABB532" w14:textId="77777777" w:rsidTr="4480FE2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A2E07F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DB9B02A" w14:textId="577AA308" w:rsidR="00E87F7A" w:rsidRPr="001356F1" w:rsidRDefault="00D31078" w:rsidP="00A46E98">
            <w:r>
              <w:t>Finance</w:t>
            </w:r>
          </w:p>
        </w:tc>
      </w:tr>
      <w:tr w:rsidR="00DF093E" w:rsidRPr="001356F1" w14:paraId="1BFE2FE3" w14:textId="77777777" w:rsidTr="4480FE2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5120248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0558217" w14:textId="77777777" w:rsidR="00E87F7A" w:rsidRPr="001356F1" w:rsidRDefault="00E87F7A" w:rsidP="00A46E98">
            <w:r w:rsidRPr="001356F1">
              <w:t xml:space="preserve">01865 </w:t>
            </w:r>
            <w:r w:rsidR="00D31078">
              <w:t>252649</w:t>
            </w:r>
          </w:p>
        </w:tc>
      </w:tr>
      <w:tr w:rsidR="005570B5" w:rsidRPr="001356F1" w14:paraId="48213D49" w14:textId="77777777" w:rsidTr="4480FE2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6E4D56DD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64CD74" w14:textId="77777777" w:rsidR="00E87F7A" w:rsidRPr="001356F1" w:rsidRDefault="00D31078" w:rsidP="00A46E98">
            <w:pPr>
              <w:rPr>
                <w:rStyle w:val="Hyperlink"/>
                <w:color w:val="000000"/>
              </w:rPr>
            </w:pPr>
            <w:r>
              <w:rPr>
                <w:rStyle w:val="Hyperlink"/>
                <w:color w:val="000000"/>
              </w:rPr>
              <w:t>Lbessell@oxford.gov.uk</w:t>
            </w:r>
          </w:p>
        </w:tc>
      </w:tr>
    </w:tbl>
    <w:p w14:paraId="4B99056E" w14:textId="0BA54A8F" w:rsidR="00A4626B" w:rsidRDefault="00A4626B" w:rsidP="4C231F47"/>
    <w:p w14:paraId="4E23DB42" w14:textId="68090868" w:rsidR="0054712D" w:rsidRPr="0054712D" w:rsidRDefault="0054712D" w:rsidP="00C85B4E">
      <w:pPr>
        <w:rPr>
          <w:b/>
        </w:rPr>
      </w:pPr>
      <w:r w:rsidRPr="0054712D">
        <w:rPr>
          <w:b/>
        </w:rPr>
        <w:t xml:space="preserve">Please note in the table </w:t>
      </w:r>
      <w:r w:rsidR="00C85B4E">
        <w:rPr>
          <w:b/>
        </w:rPr>
        <w:t xml:space="preserve">below </w:t>
      </w:r>
      <w:r w:rsidRPr="0054712D">
        <w:rPr>
          <w:b/>
        </w:rPr>
        <w:t xml:space="preserve">the version number of your report that was </w:t>
      </w:r>
      <w:r w:rsidR="00C85B4E">
        <w:rPr>
          <w:b/>
        </w:rPr>
        <w:t xml:space="preserve">finally </w:t>
      </w:r>
      <w:r w:rsidRPr="0054712D">
        <w:rPr>
          <w:b/>
        </w:rPr>
        <w:t>cleared</w:t>
      </w:r>
      <w:r w:rsidR="00C85B4E">
        <w:rPr>
          <w:b/>
        </w:rPr>
        <w:t xml:space="preserve"> </w:t>
      </w:r>
      <w:r w:rsidRPr="0054712D">
        <w:rPr>
          <w:b/>
        </w:rPr>
        <w:t xml:space="preserve">at each </w:t>
      </w:r>
      <w:r w:rsidR="00950889" w:rsidRPr="0054712D">
        <w:rPr>
          <w:b/>
        </w:rPr>
        <w:t>stage.</w:t>
      </w:r>
    </w:p>
    <w:p w14:paraId="1299C43A" w14:textId="77777777" w:rsidR="0054712D" w:rsidRDefault="0054712D" w:rsidP="0093067A"/>
    <w:p w14:paraId="0562CB0E" w14:textId="77777777" w:rsidR="00D60809" w:rsidRDefault="00D60809" w:rsidP="006925F2">
      <w:pPr>
        <w:rPr>
          <w:b/>
        </w:rPr>
        <w:sectPr w:rsidR="00D60809" w:rsidSect="00D6080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304" w:bottom="1304" w:left="1304" w:header="1134" w:footer="680" w:gutter="0"/>
          <w:cols w:space="708"/>
          <w:titlePg/>
          <w:docGrid w:linePitch="360"/>
        </w:sectPr>
      </w:pPr>
    </w:p>
    <w:p w14:paraId="67138AEB" w14:textId="77777777" w:rsidR="000E34C7" w:rsidRDefault="000E34C7" w:rsidP="006925F2">
      <w:pPr>
        <w:rPr>
          <w:b/>
          <w:bCs/>
        </w:rPr>
      </w:pPr>
    </w:p>
    <w:p w14:paraId="7318E472" w14:textId="77777777" w:rsidR="000E34C7" w:rsidRDefault="000E34C7" w:rsidP="006925F2">
      <w:pPr>
        <w:rPr>
          <w:b/>
          <w:bCs/>
        </w:rPr>
      </w:pPr>
    </w:p>
    <w:p w14:paraId="055F20C7" w14:textId="24C1F10E" w:rsidR="00C63DAF" w:rsidRDefault="00D60809" w:rsidP="006925F2">
      <w:pPr>
        <w:rPr>
          <w:b/>
          <w:bCs/>
        </w:rPr>
      </w:pPr>
      <w:r w:rsidRPr="4C231F47">
        <w:rPr>
          <w:b/>
          <w:bCs/>
        </w:rPr>
        <w:t>Appendix</w:t>
      </w:r>
      <w:r w:rsidR="3486069F" w:rsidRPr="4C231F47">
        <w:rPr>
          <w:b/>
          <w:bCs/>
        </w:rPr>
        <w:t xml:space="preserve"> A</w:t>
      </w:r>
      <w:r w:rsidR="00D53B0E">
        <w:rPr>
          <w:b/>
          <w:bCs/>
        </w:rPr>
        <w:t xml:space="preserve"> – </w:t>
      </w:r>
      <w:r w:rsidR="00B32FC3">
        <w:rPr>
          <w:b/>
          <w:bCs/>
        </w:rPr>
        <w:t>Billing Process</w:t>
      </w:r>
    </w:p>
    <w:p w14:paraId="29B4220B" w14:textId="77777777" w:rsidR="000E34C7" w:rsidRDefault="000E34C7" w:rsidP="006925F2">
      <w:pPr>
        <w:rPr>
          <w:b/>
          <w:bCs/>
        </w:rPr>
      </w:pPr>
    </w:p>
    <w:p w14:paraId="3D1C6997" w14:textId="2CDE2623" w:rsidR="0004372B" w:rsidRDefault="00EE61E5" w:rsidP="00C13DB7">
      <w:pPr>
        <w:ind w:left="-993" w:hanging="28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DA8B5EF" wp14:editId="19B89B6F">
            <wp:extent cx="9675628" cy="5549900"/>
            <wp:effectExtent l="0" t="0" r="0" b="12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04372B">
        <w:rPr>
          <w:b/>
          <w:bCs/>
        </w:rPr>
        <w:br w:type="page"/>
      </w:r>
    </w:p>
    <w:p w14:paraId="40D3DEAD" w14:textId="77777777" w:rsidR="00991684" w:rsidRDefault="00991684" w:rsidP="006925F2">
      <w:pPr>
        <w:rPr>
          <w:b/>
          <w:bCs/>
        </w:rPr>
      </w:pPr>
    </w:p>
    <w:p w14:paraId="0DCF27BC" w14:textId="541BD85C" w:rsidR="00047EF6" w:rsidRDefault="007825F6" w:rsidP="006925F2">
      <w:pPr>
        <w:rPr>
          <w:b/>
          <w:bCs/>
        </w:rPr>
      </w:pPr>
      <w:r>
        <w:rPr>
          <w:b/>
          <w:bCs/>
        </w:rPr>
        <w:t>Appendix 2</w:t>
      </w:r>
      <w:r w:rsidR="00D53B0E">
        <w:rPr>
          <w:b/>
          <w:bCs/>
        </w:rPr>
        <w:t xml:space="preserve"> – </w:t>
      </w:r>
      <w:r>
        <w:rPr>
          <w:b/>
          <w:bCs/>
        </w:rPr>
        <w:t>Recovery Rates since 20</w:t>
      </w:r>
      <w:r w:rsidR="00FB46C4">
        <w:rPr>
          <w:b/>
          <w:bCs/>
        </w:rPr>
        <w:t>0</w:t>
      </w:r>
      <w:r w:rsidR="00A21BED">
        <w:rPr>
          <w:b/>
          <w:bCs/>
        </w:rPr>
        <w:t>9</w:t>
      </w:r>
    </w:p>
    <w:p w14:paraId="0F02ABBE" w14:textId="77777777" w:rsidR="00D6733B" w:rsidRDefault="00D6733B" w:rsidP="006925F2">
      <w:pPr>
        <w:rPr>
          <w:b/>
          <w:bCs/>
        </w:rPr>
      </w:pPr>
    </w:p>
    <w:tbl>
      <w:tblPr>
        <w:tblW w:w="11630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2018"/>
        <w:gridCol w:w="278"/>
        <w:gridCol w:w="1885"/>
        <w:gridCol w:w="278"/>
        <w:gridCol w:w="1885"/>
        <w:gridCol w:w="278"/>
        <w:gridCol w:w="1815"/>
        <w:gridCol w:w="348"/>
        <w:gridCol w:w="1885"/>
      </w:tblGrid>
      <w:tr w:rsidR="002B25F1" w:rsidRPr="00386CF1" w14:paraId="545C0003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191DE3C" w14:textId="77777777" w:rsidR="009A4E95" w:rsidRPr="009A4E95" w:rsidRDefault="009A4E95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9A4E95">
              <w:rPr>
                <w:rFonts w:cs="Arial"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4078E7F" w14:textId="54905B7F" w:rsidR="009A4E95" w:rsidRPr="009A4E95" w:rsidRDefault="225EA6AD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  <w:r w:rsidR="381BA892" w:rsidRPr="4480FE28">
              <w:rPr>
                <w:rFonts w:cs="Arial"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="381BA892" w:rsidRPr="4480FE28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7319E300" w:rsidRPr="4480FE28">
              <w:rPr>
                <w:rFonts w:cs="Arial"/>
                <w:color w:val="FFFFFF" w:themeColor="background1"/>
                <w:sz w:val="22"/>
                <w:szCs w:val="22"/>
              </w:rPr>
              <w:t>April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0F26ACA" w14:textId="77777777" w:rsidR="009A4E95" w:rsidRPr="009A4E95" w:rsidRDefault="009A4E95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9A4E95">
              <w:rPr>
                <w:rFonts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EF79A42" w14:textId="6A0C76E6" w:rsidR="009A4E95" w:rsidRPr="009A4E95" w:rsidRDefault="225EA6AD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>30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 xml:space="preserve"> April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BE58568" w14:textId="77777777" w:rsidR="009A4E95" w:rsidRPr="009A4E95" w:rsidRDefault="009A4E95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9A4E95">
              <w:rPr>
                <w:rFonts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3F3BBFCC" w14:textId="751F9D1B" w:rsidR="009A4E95" w:rsidRPr="009A4E95" w:rsidRDefault="381BA892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>31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 xml:space="preserve"> May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7239C6DA" w14:textId="77777777" w:rsidR="009A4E95" w:rsidRPr="009A4E95" w:rsidRDefault="009A4E95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9A4E95">
              <w:rPr>
                <w:rFonts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D8E9FEB" w14:textId="1058EDC6" w:rsidR="009A4E95" w:rsidRPr="009A4E95" w:rsidRDefault="381BA892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>30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 xml:space="preserve"> June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5399C4A0" w14:textId="77777777" w:rsidR="009A4E95" w:rsidRPr="009A4E95" w:rsidRDefault="009A4E95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9A4E95">
              <w:rPr>
                <w:rFonts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4D190830" w14:textId="648978CD" w:rsidR="009A4E95" w:rsidRPr="009A4E95" w:rsidRDefault="6FBE632C" w:rsidP="009A4E95">
            <w:pPr>
              <w:spacing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>31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Pr="4480FE28">
              <w:rPr>
                <w:rFonts w:cs="Arial"/>
                <w:color w:val="FFFFFF" w:themeColor="background1"/>
                <w:sz w:val="22"/>
                <w:szCs w:val="22"/>
              </w:rPr>
              <w:t xml:space="preserve"> July</w:t>
            </w:r>
          </w:p>
        </w:tc>
      </w:tr>
      <w:tr w:rsidR="002B25F1" w:rsidRPr="009A4E95" w14:paraId="4D3F7D77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6003" w14:textId="7CFF1B6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09</w:t>
            </w:r>
            <w:r w:rsidR="4125B776" w:rsidRPr="4480FE28">
              <w:rPr>
                <w:rFonts w:cs="Arial"/>
                <w:sz w:val="20"/>
                <w:szCs w:val="20"/>
              </w:rPr>
              <w:t>/10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84176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£12,406.41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83414B3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0ADFC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£12,396.41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937E3C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B4243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£12,386.41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699B173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9499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£12,376.41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DC912A2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5DCA8AC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£12,366.41</w:t>
            </w:r>
          </w:p>
        </w:tc>
      </w:tr>
      <w:tr w:rsidR="00710E49" w:rsidRPr="009A4E95" w14:paraId="1618F4AF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13CD" w14:textId="796FE872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10</w:t>
            </w:r>
            <w:r w:rsidR="3A86E3F1" w:rsidRPr="4480FE28">
              <w:rPr>
                <w:rFonts w:cs="Arial"/>
                <w:sz w:val="20"/>
                <w:szCs w:val="20"/>
              </w:rPr>
              <w:t>/11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639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£5,304.67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5D2293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4E86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£3,909.33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7D43F5C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8F902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£2,829.43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299F8F2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37F0080C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£2,829.43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E718DAD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bottom"/>
            <w:hideMark/>
          </w:tcPr>
          <w:p w14:paraId="3554ED1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£2,829.43</w:t>
            </w:r>
          </w:p>
        </w:tc>
      </w:tr>
      <w:tr w:rsidR="00710E49" w:rsidRPr="009A4E95" w14:paraId="38C9570E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A92D" w14:textId="42C6E538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11</w:t>
            </w:r>
            <w:r w:rsidR="12B3B058" w:rsidRPr="4480FE28">
              <w:rPr>
                <w:rFonts w:cs="Arial"/>
                <w:sz w:val="20"/>
                <w:szCs w:val="20"/>
              </w:rPr>
              <w:t>/12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07C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£44,479.11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FC839E0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1A2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£44,479.11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B34DA2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0F1F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£44,359.11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A70541F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5258019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£44,359.11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54250B5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bottom"/>
            <w:hideMark/>
          </w:tcPr>
          <w:p w14:paraId="2C1EE87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£44,359.11</w:t>
            </w:r>
          </w:p>
        </w:tc>
      </w:tr>
      <w:tr w:rsidR="00710E49" w:rsidRPr="009A4E95" w14:paraId="36A3E660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798C" w14:textId="3B888013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12</w:t>
            </w:r>
            <w:r w:rsidR="54035B76" w:rsidRPr="4480FE28">
              <w:rPr>
                <w:rFonts w:cs="Arial"/>
                <w:sz w:val="20"/>
                <w:szCs w:val="20"/>
              </w:rPr>
              <w:t>/13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CB1F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£111,662.19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FD372B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3F21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£111,471.40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CAB3D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17614ED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£62,068.36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B1B4A62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139C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£61,400.60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711D578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2371817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£60,399.92</w:t>
            </w:r>
          </w:p>
        </w:tc>
      </w:tr>
      <w:tr w:rsidR="00710E49" w:rsidRPr="009A4E95" w14:paraId="5DA77226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B74F" w14:textId="03DC8F05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13</w:t>
            </w:r>
            <w:r w:rsidR="47E8F34E" w:rsidRPr="4480FE28">
              <w:rPr>
                <w:rFonts w:cs="Arial"/>
                <w:sz w:val="20"/>
                <w:szCs w:val="20"/>
              </w:rPr>
              <w:t>/14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21A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£339,798.70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739AFE0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1D04C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£338,898.70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34E4A4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4D84276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£68,928.70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1E9BC84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2031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£67,728.70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56CB1B1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5E99936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£66,528.70</w:t>
            </w:r>
          </w:p>
        </w:tc>
      </w:tr>
      <w:tr w:rsidR="00710E49" w:rsidRPr="009A4E95" w14:paraId="4531DAC9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30B38" w14:textId="03E7ED81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14</w:t>
            </w:r>
            <w:r w:rsidR="5180A14C" w:rsidRPr="4480FE28">
              <w:rPr>
                <w:rFonts w:cs="Arial"/>
                <w:sz w:val="20"/>
                <w:szCs w:val="20"/>
              </w:rPr>
              <w:t>/15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675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£394,846.46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C245D16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13E9F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£394,926.46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9035B7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40D8704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£72,303.72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A58D073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41B87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£70,493.26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04FCF7C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0D77860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£70,273.77</w:t>
            </w:r>
          </w:p>
        </w:tc>
      </w:tr>
      <w:tr w:rsidR="002B25F1" w:rsidRPr="009A4E95" w14:paraId="55C7603C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17AE" w14:textId="3503E4DD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15</w:t>
            </w:r>
            <w:r w:rsidR="4DD1C1AE" w:rsidRPr="4480FE28">
              <w:rPr>
                <w:rFonts w:cs="Arial"/>
                <w:sz w:val="20"/>
                <w:szCs w:val="20"/>
              </w:rPr>
              <w:t>/16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2CB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£78,936.72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04FBB9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BDF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£78,936.72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87171D7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294AA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£75,827.22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220D057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E568E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£75,827.22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EF56052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67D08C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£75,827.22</w:t>
            </w:r>
          </w:p>
        </w:tc>
      </w:tr>
      <w:tr w:rsidR="002B25F1" w:rsidRPr="009A4E95" w14:paraId="6541A6A8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CDBD" w14:textId="01D04895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16</w:t>
            </w:r>
            <w:r w:rsidR="57665BFE" w:rsidRPr="4480FE28">
              <w:rPr>
                <w:rFonts w:cs="Arial"/>
                <w:sz w:val="20"/>
                <w:szCs w:val="20"/>
              </w:rPr>
              <w:t>/17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B3BC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£103,026.47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ED41899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9C09599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£103,026.47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37FDB3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1B0CA42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£103,026.47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F033E9E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4A861F4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£103,026.47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66B6FAB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noWrap/>
            <w:vAlign w:val="bottom"/>
            <w:hideMark/>
          </w:tcPr>
          <w:p w14:paraId="32A7AA6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£103,026.47</w:t>
            </w:r>
          </w:p>
        </w:tc>
      </w:tr>
      <w:tr w:rsidR="002B25F1" w:rsidRPr="009A4E95" w14:paraId="7611DFD3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3686E" w14:textId="4B4556B0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17</w:t>
            </w:r>
            <w:r w:rsidR="4CF527F2" w:rsidRPr="4480FE28">
              <w:rPr>
                <w:rFonts w:cs="Arial"/>
                <w:sz w:val="20"/>
                <w:szCs w:val="20"/>
              </w:rPr>
              <w:t>/18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FEE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£129,895.77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8E5C86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6246E107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£134,410.28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433A4C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655D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£130,271.77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1570ABF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43F05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£126,149.22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0691BB7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B5925F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£102,551.13</w:t>
            </w:r>
          </w:p>
        </w:tc>
      </w:tr>
      <w:tr w:rsidR="002B25F1" w:rsidRPr="009A4E95" w14:paraId="0F05BA26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87DB" w14:textId="4C0E19CD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18</w:t>
            </w:r>
            <w:r w:rsidR="57F47EFF" w:rsidRPr="4480FE28">
              <w:rPr>
                <w:rFonts w:cs="Arial"/>
                <w:sz w:val="20"/>
                <w:szCs w:val="20"/>
              </w:rPr>
              <w:t>/19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CAD1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£189,583.45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1A9C8C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6987C68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£199,654.35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8D7A27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7FFBA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£198,903.54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FE71D3F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9EE53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£195,594.29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518CA7A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31CB2D7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£167,275.97</w:t>
            </w:r>
          </w:p>
        </w:tc>
      </w:tr>
      <w:tr w:rsidR="002B25F1" w:rsidRPr="009A4E95" w14:paraId="220133CA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07B0" w14:textId="1A537295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19</w:t>
            </w:r>
            <w:r w:rsidR="6A249B0C" w:rsidRPr="4480FE28">
              <w:rPr>
                <w:rFonts w:cs="Arial"/>
                <w:sz w:val="20"/>
                <w:szCs w:val="20"/>
              </w:rPr>
              <w:t>/20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DA8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£511,156.47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D6D7277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3ACCEC6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£523,544.25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96664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EFF2C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£517,992.06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BF0101B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13A69C7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£524,006.09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9CD9E6D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043BEF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£496,184.23</w:t>
            </w:r>
          </w:p>
        </w:tc>
      </w:tr>
      <w:tr w:rsidR="002B25F1" w:rsidRPr="009A4E95" w14:paraId="6DC1BF76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991D" w14:textId="5F25C0EE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20</w:t>
            </w:r>
            <w:r w:rsidR="3A7B26B7" w:rsidRPr="4480FE28">
              <w:rPr>
                <w:rFonts w:cs="Arial"/>
                <w:sz w:val="20"/>
                <w:szCs w:val="20"/>
              </w:rPr>
              <w:t>/21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A10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£416,843.93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9FFC1C3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53B92F3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£418,078.32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255C42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53334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£417,228.49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5E24711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74CD2AB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£474,431.90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DECC2FC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F013E5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£421,902.86</w:t>
            </w:r>
          </w:p>
        </w:tc>
      </w:tr>
      <w:tr w:rsidR="002B25F1" w:rsidRPr="009A4E95" w14:paraId="1A963489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F7B2" w14:textId="00DB7C8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21</w:t>
            </w:r>
            <w:r w:rsidR="600E8407" w:rsidRPr="4480FE28">
              <w:rPr>
                <w:rFonts w:cs="Arial"/>
                <w:sz w:val="20"/>
                <w:szCs w:val="20"/>
              </w:rPr>
              <w:t>/22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D3BC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£802,489.48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ECC4D5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4EC0C87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£828,411.33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4D77BB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69B1BFF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£843,145.54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31E788A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03321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£826,985.87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A605D5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83A95EC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£721,814.93</w:t>
            </w:r>
          </w:p>
        </w:tc>
      </w:tr>
      <w:tr w:rsidR="002B25F1" w:rsidRPr="009A4E95" w14:paraId="7E14ACA0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2F49" w14:textId="7273C904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22</w:t>
            </w:r>
            <w:r w:rsidR="32E7DEBE" w:rsidRPr="4480FE28">
              <w:rPr>
                <w:rFonts w:cs="Arial"/>
                <w:sz w:val="20"/>
                <w:szCs w:val="20"/>
              </w:rPr>
              <w:t>/23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A9E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£1,629,042.77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3161CF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02611B4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£1,728,476.24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6112F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4121953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£1,664,428.83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06580F2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109F5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£1,473,619.36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5BD2412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41D961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£1,370,813.54</w:t>
            </w:r>
          </w:p>
        </w:tc>
      </w:tr>
      <w:tr w:rsidR="002B25F1" w:rsidRPr="009A4E95" w14:paraId="50193145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6B03" w14:textId="4CB00D8B" w:rsidR="009A4E95" w:rsidRPr="009A4E95" w:rsidRDefault="5D1921DC" w:rsidP="4480FE28">
            <w:pPr>
              <w:spacing w:after="0" w:line="259" w:lineRule="auto"/>
              <w:jc w:val="right"/>
            </w:pPr>
            <w:r w:rsidRPr="4480FE28">
              <w:rPr>
                <w:rFonts w:cs="Arial"/>
                <w:sz w:val="20"/>
                <w:szCs w:val="20"/>
              </w:rPr>
              <w:t>23/24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39B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£2,959,716.17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098036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52C7BC7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£3,038,372.22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3971673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66450A19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£2,963,528.65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1A15680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8011D1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£2,829,010.88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D3843F0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2931855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£2,843,158.79</w:t>
            </w:r>
          </w:p>
        </w:tc>
      </w:tr>
      <w:tr w:rsidR="002B25F1" w:rsidRPr="009A4E95" w14:paraId="36B77912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40D57" w14:textId="41CBEAB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24</w:t>
            </w:r>
            <w:r w:rsidR="47B475DD" w:rsidRPr="4480FE28">
              <w:rPr>
                <w:rFonts w:cs="Arial"/>
                <w:sz w:val="20"/>
                <w:szCs w:val="20"/>
              </w:rPr>
              <w:t>/25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A44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£100,695,978.25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DAC6582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EFAF9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£91,033,785.21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EAF1EF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A58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£83,530,028.84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79003AA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6ABF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£73,216,691.56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7B100FE" w14:textId="77777777" w:rsidR="009A4E95" w:rsidRPr="009A4E95" w:rsidRDefault="1C58C946" w:rsidP="4480FE28">
            <w:pPr>
              <w:spacing w:after="0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C8007C8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4480FE28">
              <w:rPr>
                <w:rFonts w:cs="Arial"/>
                <w:sz w:val="20"/>
                <w:szCs w:val="20"/>
              </w:rPr>
              <w:t>£61,982,978.36</w:t>
            </w:r>
          </w:p>
        </w:tc>
      </w:tr>
      <w:tr w:rsidR="002B25F1" w:rsidRPr="009A4E95" w14:paraId="39AF3E46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C7338" w14:textId="77777777" w:rsidR="009A4E95" w:rsidRPr="009A4E95" w:rsidRDefault="009A4E95" w:rsidP="4480FE2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CF05A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4480FE28">
              <w:rPr>
                <w:rFonts w:cs="Arial"/>
                <w:b/>
                <w:bCs/>
                <w:color w:val="auto"/>
                <w:sz w:val="20"/>
                <w:szCs w:val="20"/>
              </w:rPr>
              <w:t>£108,425,167.02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91B2" w14:textId="77777777" w:rsidR="009A4E95" w:rsidRPr="009A4E95" w:rsidRDefault="009A4E95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542B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4480FE28">
              <w:rPr>
                <w:rFonts w:cs="Arial"/>
                <w:b/>
                <w:bCs/>
                <w:color w:val="auto"/>
                <w:sz w:val="20"/>
                <w:szCs w:val="20"/>
              </w:rPr>
              <w:t>£98,992,776.80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F527" w14:textId="77777777" w:rsidR="009A4E95" w:rsidRPr="009A4E95" w:rsidRDefault="009A4E95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92A4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4480FE28">
              <w:rPr>
                <w:rFonts w:cs="Arial"/>
                <w:b/>
                <w:bCs/>
                <w:color w:val="auto"/>
                <w:sz w:val="20"/>
                <w:szCs w:val="20"/>
              </w:rPr>
              <w:t>£90,707,257.14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5D44" w14:textId="77777777" w:rsidR="009A4E95" w:rsidRPr="009A4E95" w:rsidRDefault="009A4E95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DE2AD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4480FE28">
              <w:rPr>
                <w:rFonts w:cs="Arial"/>
                <w:b/>
                <w:bCs/>
                <w:color w:val="auto"/>
                <w:sz w:val="20"/>
                <w:szCs w:val="20"/>
              </w:rPr>
              <w:t>£80,104,530.37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F30B" w14:textId="77777777" w:rsidR="009A4E95" w:rsidRPr="009A4E95" w:rsidRDefault="009A4E95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11D1EE" w14:textId="77777777" w:rsidR="009A4E95" w:rsidRPr="009A4E95" w:rsidRDefault="1C58C946" w:rsidP="4480FE28">
            <w:pPr>
              <w:spacing w:after="0"/>
              <w:jc w:val="righ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4480FE28">
              <w:rPr>
                <w:rFonts w:cs="Arial"/>
                <w:b/>
                <w:bCs/>
                <w:color w:val="auto"/>
                <w:sz w:val="20"/>
                <w:szCs w:val="20"/>
              </w:rPr>
              <w:t>£68,542,290.84</w:t>
            </w:r>
          </w:p>
        </w:tc>
      </w:tr>
      <w:tr w:rsidR="002B25F1" w:rsidRPr="009A4E95" w14:paraId="08183B18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E0B8" w14:textId="77777777" w:rsidR="009A4E95" w:rsidRPr="009A4E95" w:rsidRDefault="009A4E95" w:rsidP="009A4E95">
            <w:pPr>
              <w:spacing w:after="0"/>
              <w:jc w:val="right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ABCA" w14:textId="77777777" w:rsidR="009A4E95" w:rsidRPr="009A4E95" w:rsidRDefault="009A4E95" w:rsidP="009A4E95">
            <w:pPr>
              <w:spacing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44005" w14:textId="77777777" w:rsidR="009A4E95" w:rsidRPr="009A4E95" w:rsidRDefault="009A4E95" w:rsidP="009A4E95">
            <w:pPr>
              <w:spacing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8DF47" w14:textId="77777777" w:rsidR="009A4E95" w:rsidRPr="009A4E95" w:rsidRDefault="009A4E95" w:rsidP="009A4E95">
            <w:pPr>
              <w:spacing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A6A02" w14:textId="77777777" w:rsidR="009A4E95" w:rsidRPr="009A4E95" w:rsidRDefault="009A4E95" w:rsidP="009A4E95">
            <w:pPr>
              <w:spacing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7F95" w14:textId="77777777" w:rsidR="009A4E95" w:rsidRPr="009A4E95" w:rsidRDefault="009A4E95" w:rsidP="009A4E95">
            <w:pPr>
              <w:spacing w:after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B25F1" w:rsidRPr="009A4E95" w14:paraId="23AD6E4C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FB188" w14:textId="77777777" w:rsidR="009A4E95" w:rsidRPr="009A4E95" w:rsidRDefault="009A4E95" w:rsidP="009A4E95">
            <w:pPr>
              <w:spacing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A6F85" w14:textId="2AE67570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153D" w14:textId="77777777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C896B" w14:textId="784321DA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0B9EB" w14:textId="77777777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9435E" w14:textId="169453A4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1C35" w14:textId="77777777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D36D" w14:textId="55FD7CD0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3E2F4" w14:textId="77777777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62E9" w14:textId="5EF7A141" w:rsidR="009A4E95" w:rsidRPr="009A4E95" w:rsidRDefault="009A4E95" w:rsidP="4480FE28">
            <w:pPr>
              <w:spacing w:after="0" w:line="259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B25F1" w:rsidRPr="009A4E95" w14:paraId="3F3CB85A" w14:textId="77777777" w:rsidTr="4480FE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D116E" w14:textId="77777777" w:rsidR="009A4E95" w:rsidRPr="009A4E95" w:rsidRDefault="009A4E95" w:rsidP="009A4E95">
            <w:pPr>
              <w:spacing w:after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8F2A" w14:textId="77777777" w:rsidR="009A4E95" w:rsidRPr="009A4E95" w:rsidRDefault="009A4E95" w:rsidP="009A4E95">
            <w:pPr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B0ECE" w14:textId="77777777" w:rsidR="009A4E95" w:rsidRPr="009A4E95" w:rsidRDefault="009A4E95" w:rsidP="009A4E95">
            <w:pPr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D8CB" w14:textId="77777777" w:rsidR="009A4E95" w:rsidRPr="009A4E95" w:rsidRDefault="009A4E95" w:rsidP="009A4E95">
            <w:pPr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A310" w14:textId="77777777" w:rsidR="009A4E95" w:rsidRPr="009A4E95" w:rsidRDefault="009A4E95" w:rsidP="009A4E95">
            <w:pPr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C62F2" w14:textId="77777777" w:rsidR="009A4E95" w:rsidRPr="009A4E95" w:rsidRDefault="009A4E95" w:rsidP="009A4E95">
            <w:pPr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6DF5186A" w14:textId="77777777" w:rsidR="00047EF6" w:rsidRPr="00373509" w:rsidRDefault="00047EF6" w:rsidP="004710CA">
      <w:pPr>
        <w:rPr>
          <w:b/>
          <w:bCs/>
        </w:rPr>
      </w:pPr>
    </w:p>
    <w:sectPr w:rsidR="00047EF6" w:rsidRPr="00373509" w:rsidSect="00C13DB7">
      <w:headerReference w:type="default" r:id="rId19"/>
      <w:footerReference w:type="default" r:id="rId20"/>
      <w:pgSz w:w="16838" w:h="11906" w:orient="landscape" w:code="9"/>
      <w:pgMar w:top="-481" w:right="1418" w:bottom="426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91AD" w14:textId="77777777" w:rsidR="000D2C40" w:rsidRDefault="000D2C40" w:rsidP="004A6D2F">
      <w:r>
        <w:separator/>
      </w:r>
    </w:p>
  </w:endnote>
  <w:endnote w:type="continuationSeparator" w:id="0">
    <w:p w14:paraId="585C827E" w14:textId="77777777" w:rsidR="000D2C40" w:rsidRDefault="000D2C40" w:rsidP="004A6D2F">
      <w:r>
        <w:continuationSeparator/>
      </w:r>
    </w:p>
  </w:endnote>
  <w:endnote w:type="continuationNotice" w:id="1">
    <w:p w14:paraId="599890B6" w14:textId="77777777" w:rsidR="000D2C40" w:rsidRDefault="000D2C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CE2C" w14:textId="77777777" w:rsidR="00364FAD" w:rsidRDefault="00364FAD" w:rsidP="004A6D2F">
    <w:pPr>
      <w:pStyle w:val="Footer"/>
    </w:pPr>
    <w:r>
      <w:t>Do not use a footer or page numbers.</w:t>
    </w:r>
  </w:p>
  <w:p w14:paraId="61CDCEAD" w14:textId="77777777" w:rsidR="00364FAD" w:rsidRDefault="00364FAD" w:rsidP="004A6D2F">
    <w:pPr>
      <w:pStyle w:val="Footer"/>
    </w:pPr>
  </w:p>
  <w:p w14:paraId="6BB9E253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4480FE28" w14:paraId="49115DCF" w14:textId="77777777" w:rsidTr="4480FE28">
      <w:trPr>
        <w:trHeight w:val="300"/>
      </w:trPr>
      <w:tc>
        <w:tcPr>
          <w:tcW w:w="3095" w:type="dxa"/>
        </w:tcPr>
        <w:p w14:paraId="274F2B5D" w14:textId="5253AF78" w:rsidR="4480FE28" w:rsidRDefault="4480FE28" w:rsidP="4480FE28">
          <w:pPr>
            <w:pStyle w:val="Header"/>
            <w:ind w:left="-115"/>
          </w:pPr>
        </w:p>
      </w:tc>
      <w:tc>
        <w:tcPr>
          <w:tcW w:w="3095" w:type="dxa"/>
        </w:tcPr>
        <w:p w14:paraId="35978543" w14:textId="194DCDA3" w:rsidR="4480FE28" w:rsidRDefault="4480FE28" w:rsidP="4480FE28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5C7504">
            <w:fldChar w:fldCharType="separate"/>
          </w:r>
          <w:r w:rsidR="00323D5E">
            <w:rPr>
              <w:noProof/>
            </w:rPr>
            <w:t>2</w:t>
          </w:r>
          <w:r>
            <w:fldChar w:fldCharType="end"/>
          </w:r>
        </w:p>
      </w:tc>
      <w:tc>
        <w:tcPr>
          <w:tcW w:w="3095" w:type="dxa"/>
        </w:tcPr>
        <w:p w14:paraId="2FD4E3BD" w14:textId="3E6EE5DB" w:rsidR="4480FE28" w:rsidRDefault="4480FE28" w:rsidP="4480FE28">
          <w:pPr>
            <w:pStyle w:val="Header"/>
            <w:ind w:right="-115"/>
            <w:jc w:val="right"/>
          </w:pPr>
        </w:p>
      </w:tc>
    </w:tr>
  </w:tbl>
  <w:p w14:paraId="50D748B9" w14:textId="73DFBC23" w:rsidR="4480FE28" w:rsidRDefault="4480FE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4873" w14:textId="77777777" w:rsidR="00A701B5" w:rsidRDefault="00745BF0" w:rsidP="004A6D2F">
    <w:pPr>
      <w:pStyle w:val="Footer"/>
    </w:pPr>
    <w: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05"/>
      <w:gridCol w:w="4705"/>
      <w:gridCol w:w="4705"/>
    </w:tblGrid>
    <w:tr w:rsidR="4480FE28" w14:paraId="7C6FE567" w14:textId="77777777" w:rsidTr="4480FE28">
      <w:trPr>
        <w:trHeight w:val="300"/>
      </w:trPr>
      <w:tc>
        <w:tcPr>
          <w:tcW w:w="4705" w:type="dxa"/>
        </w:tcPr>
        <w:p w14:paraId="57F76A3C" w14:textId="3F78102A" w:rsidR="4480FE28" w:rsidRDefault="4480FE28" w:rsidP="4480FE28">
          <w:pPr>
            <w:pStyle w:val="Header"/>
            <w:ind w:left="-115"/>
          </w:pPr>
        </w:p>
      </w:tc>
      <w:tc>
        <w:tcPr>
          <w:tcW w:w="4705" w:type="dxa"/>
        </w:tcPr>
        <w:p w14:paraId="53F8BC54" w14:textId="5B25C548" w:rsidR="4480FE28" w:rsidRDefault="4480FE28" w:rsidP="4480FE28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5C7504">
            <w:fldChar w:fldCharType="separate"/>
          </w:r>
          <w:r w:rsidR="00D53B0E">
            <w:rPr>
              <w:noProof/>
            </w:rPr>
            <w:t>8</w:t>
          </w:r>
          <w:r>
            <w:fldChar w:fldCharType="end"/>
          </w:r>
        </w:p>
      </w:tc>
      <w:tc>
        <w:tcPr>
          <w:tcW w:w="4705" w:type="dxa"/>
        </w:tcPr>
        <w:p w14:paraId="19FE43E9" w14:textId="308E3625" w:rsidR="4480FE28" w:rsidRDefault="4480FE28" w:rsidP="4480FE28">
          <w:pPr>
            <w:pStyle w:val="Header"/>
            <w:ind w:right="-115"/>
            <w:jc w:val="right"/>
          </w:pPr>
        </w:p>
      </w:tc>
    </w:tr>
  </w:tbl>
  <w:p w14:paraId="6257230F" w14:textId="4F39EE86" w:rsidR="4480FE28" w:rsidRDefault="4480FE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CEFF" w14:textId="77777777" w:rsidR="000D2C40" w:rsidRDefault="000D2C40" w:rsidP="004A6D2F">
      <w:r>
        <w:separator/>
      </w:r>
    </w:p>
  </w:footnote>
  <w:footnote w:type="continuationSeparator" w:id="0">
    <w:p w14:paraId="21C53A4E" w14:textId="77777777" w:rsidR="000D2C40" w:rsidRDefault="000D2C40" w:rsidP="004A6D2F">
      <w:r>
        <w:continuationSeparator/>
      </w:r>
    </w:p>
  </w:footnote>
  <w:footnote w:type="continuationNotice" w:id="1">
    <w:p w14:paraId="7C546575" w14:textId="77777777" w:rsidR="000D2C40" w:rsidRDefault="000D2C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4480FE28" w14:paraId="3B04FBB6" w14:textId="77777777" w:rsidTr="4480FE28">
      <w:trPr>
        <w:trHeight w:val="300"/>
      </w:trPr>
      <w:tc>
        <w:tcPr>
          <w:tcW w:w="3095" w:type="dxa"/>
        </w:tcPr>
        <w:p w14:paraId="1944B5A0" w14:textId="450532CF" w:rsidR="4480FE28" w:rsidRDefault="4480FE28" w:rsidP="4480FE28">
          <w:pPr>
            <w:pStyle w:val="Header"/>
            <w:ind w:left="-115"/>
          </w:pPr>
        </w:p>
      </w:tc>
      <w:tc>
        <w:tcPr>
          <w:tcW w:w="3095" w:type="dxa"/>
        </w:tcPr>
        <w:p w14:paraId="61599D64" w14:textId="7FD9DF11" w:rsidR="4480FE28" w:rsidRDefault="4480FE28" w:rsidP="4480FE28">
          <w:pPr>
            <w:pStyle w:val="Header"/>
            <w:jc w:val="center"/>
          </w:pPr>
        </w:p>
      </w:tc>
      <w:tc>
        <w:tcPr>
          <w:tcW w:w="3095" w:type="dxa"/>
        </w:tcPr>
        <w:p w14:paraId="7140989E" w14:textId="71DC1C82" w:rsidR="4480FE28" w:rsidRDefault="4480FE28" w:rsidP="4480FE28">
          <w:pPr>
            <w:pStyle w:val="Header"/>
            <w:ind w:right="-115"/>
            <w:jc w:val="right"/>
          </w:pPr>
        </w:p>
      </w:tc>
    </w:tr>
  </w:tbl>
  <w:p w14:paraId="1A1F0655" w14:textId="6EAB9E6A" w:rsidR="4480FE28" w:rsidRDefault="4480FE28" w:rsidP="4480F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0F744A48" w:rsidR="00D5547E" w:rsidRDefault="000E34C7" w:rsidP="00F4609E">
    <w:pPr>
      <w:pStyle w:val="Header"/>
      <w:tabs>
        <w:tab w:val="right" w:pos="14116"/>
      </w:tabs>
      <w:jc w:val="right"/>
    </w:pPr>
    <w:r>
      <w:tab/>
    </w:r>
    <w:r>
      <w:tab/>
    </w:r>
    <w:r w:rsidR="00FE5758">
      <w:rPr>
        <w:noProof/>
      </w:rPr>
      <w:drawing>
        <wp:inline distT="0" distB="0" distL="0" distR="0" wp14:anchorId="1DBC0CBD" wp14:editId="52416CB3">
          <wp:extent cx="843280" cy="1117600"/>
          <wp:effectExtent l="0" t="0" r="0" b="635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05"/>
      <w:gridCol w:w="4705"/>
      <w:gridCol w:w="4705"/>
    </w:tblGrid>
    <w:tr w:rsidR="4480FE28" w14:paraId="10FEAC43" w14:textId="77777777" w:rsidTr="4480FE28">
      <w:trPr>
        <w:trHeight w:val="300"/>
      </w:trPr>
      <w:tc>
        <w:tcPr>
          <w:tcW w:w="4705" w:type="dxa"/>
        </w:tcPr>
        <w:p w14:paraId="7BECD652" w14:textId="40224F56" w:rsidR="4480FE28" w:rsidRDefault="4480FE28" w:rsidP="4480FE28">
          <w:pPr>
            <w:pStyle w:val="Header"/>
            <w:ind w:left="-115"/>
          </w:pPr>
        </w:p>
      </w:tc>
      <w:tc>
        <w:tcPr>
          <w:tcW w:w="4705" w:type="dxa"/>
        </w:tcPr>
        <w:p w14:paraId="50C8D3F5" w14:textId="19187F47" w:rsidR="4480FE28" w:rsidRDefault="4480FE28" w:rsidP="4480FE28">
          <w:pPr>
            <w:pStyle w:val="Header"/>
            <w:jc w:val="center"/>
          </w:pPr>
        </w:p>
      </w:tc>
      <w:tc>
        <w:tcPr>
          <w:tcW w:w="4705" w:type="dxa"/>
        </w:tcPr>
        <w:p w14:paraId="33655806" w14:textId="7E2926CB" w:rsidR="4480FE28" w:rsidRDefault="4480FE28" w:rsidP="4480FE28">
          <w:pPr>
            <w:pStyle w:val="Header"/>
            <w:ind w:right="-115"/>
            <w:jc w:val="right"/>
          </w:pPr>
        </w:p>
      </w:tc>
    </w:tr>
  </w:tbl>
  <w:p w14:paraId="7347C16A" w14:textId="7A1A0E62" w:rsidR="4480FE28" w:rsidRDefault="4480FE28" w:rsidP="4480FE2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9CLbrtaFjO1dL" int2:id="20uVnDuM">
      <int2:state int2:value="Rejected" int2:type="AugLoop_Text_Critique"/>
    </int2:textHash>
    <int2:textHash int2:hashCode="QrhtTgGcvDBCb7" int2:id="3Aq0NBWr">
      <int2:state int2:value="Rejected" int2:type="AugLoop_Text_Critique"/>
    </int2:textHash>
    <int2:textHash int2:hashCode="BC3EUS+j05HFFw" int2:id="BcaKmFMV">
      <int2:state int2:value="Rejected" int2:type="AugLoop_Text_Critique"/>
    </int2:textHash>
    <int2:textHash int2:hashCode="VUVK3NRWi8EA3t" int2:id="Y7nryb5M">
      <int2:state int2:value="Rejected" int2:type="AugLoop_Text_Critique"/>
    </int2:textHash>
    <int2:textHash int2:hashCode="J5M+/hGTtgwB6A" int2:id="rWm14OT2">
      <int2:state int2:value="Rejected" int2:type="AugLoop_Text_Critique"/>
    </int2:textHash>
    <int2:bookmark int2:bookmarkName="_Int_CTNXW5Vb" int2:invalidationBookmarkName="" int2:hashCode="5SXuEr0UvYbR+F" int2:id="3wStN5m9">
      <int2:state int2:value="Rejected" int2:type="AugLoop_Acronyms_AcronymsCritique"/>
    </int2:bookmark>
    <int2:bookmark int2:bookmarkName="_Int_A7lt2wbD" int2:invalidationBookmarkName="" int2:hashCode="QnFif08L72EEqV" int2:id="8JiubDse">
      <int2:state int2:value="Rejected" int2:type="AugLoop_Text_Critique"/>
    </int2:bookmark>
    <int2:bookmark int2:bookmarkName="_Int_A47mkBVD" int2:invalidationBookmarkName="" int2:hashCode="XsykMzk5n+v850" int2:id="cZfYvUPr">
      <int2:state int2:value="Rejected" int2:type="AugLoop_Text_Critique"/>
    </int2:bookmark>
    <int2:bookmark int2:bookmarkName="_Int_lGaxr5Lw" int2:invalidationBookmarkName="" int2:hashCode="6X/4wpXdfDElP/" int2:id="f2WqPZ3T">
      <int2:state int2:value="Rejected" int2:type="AugLoop_Text_Critique"/>
    </int2:bookmark>
    <int2:bookmark int2:bookmarkName="_Int_FRVzneRb" int2:invalidationBookmarkName="" int2:hashCode="XsykMzk5n+v850" int2:id="mi1oappX">
      <int2:state int2:value="Rejected" int2:type="AugLoop_Text_Critique"/>
    </int2:bookmark>
    <int2:entireDocument int2:id="zGuCzs5j">
      <int2:extLst>
        <oel:ext uri="E302BA01-7950-474C-9AD3-286E660C40A8">
          <int2:similaritySummary int2:version="1" int2:runId="1732558507457" int2:tilesCheckedInThisRun="198" int2:totalNumOfTiles="198" int2:similarityAnnotationCount="1" int2:numWords="2114" int2:numFlaggedWords="14"/>
        </oel:ext>
      </int2:extLst>
    </int2:entireDocument>
  </int2:observations>
  <int2:intelligenceSettings/>
  <int2:onDemandWorkflows>
    <int2:onDemandWorkflow int2:type="SimilarityCheck" int2:paragraphVersions="03BE8C21-77777777 672A6659-77777777 083A94F9-77777777 2A9EA4EF-77777777 3101716D-77777777 5E3FE805-16806BBC 7D368FDE-77777777 5322DA6C-77777777 65867D8D-77777777 7A1B2F2C-48C26CF3 0A37501D-77777777 743A6AB8-77777777 6BEDB967-77777777 5DAB6C7B-77777777 01B58E3E-3C663743 68995F34-77777777 48C9DA01-3C5B0C5B 7C0D44FB-77777777 3161A9A1-77777777 3C8BE08A-018A58BD 0135CBF0-77777777 2E4F827C-77777777 02EB378F-77777777 3DBF17A9-77777777 65C3CA8D-77777777 6A05A809-28B68AEA 1B246681-400D838F 5A39BBE3-2ACF834F 41C8F396-77777777 1D425973-77777777 4CA23880-2FDEF2B8 45A16E42-4DC12493 2A260492-57BAC1C2 3D4AA17E-5B9ACCBB 31A01015-260FB9E1 26853818-6FF07677 2DC69B17-750B4794 1CF3063F-1D134E41 098BCCBB-276D54C2 2FDBD9B8-416CE8D1 6BB0EF19-28378372 20B95506-27274034 00D145DC-77777777 46693083-5E3DC951 038A6B1C-3BBC9EE2 3942BF22-5BDD7C77 3C1C7473-0E6F9D00 4B660AA3-7416CC02 371453AA-39816017 5E59E5C6-79038569 75276447-0F417FFE 1EFCF15F-6552D851 410D211A-13FCCF5F 6FD48F2E-5A593F44 5B9CC5C7-77777777 70BE7096-07624681 7B3F8526-75739A75 6494C5D5-580E82E3 4035075F-08F4A575 5B55FC0C-61533DC3 7806D928-6483ED10 3008A490-3AEBD91A 1BF5BA8E-4EF1BD0D 1D06AEF2-170DADD0 6612916D-1D3A2BBE 66F71536-6B9E3870 2FE815BA-34C916C9 217BE3E7-0730A8F8 78753679-051204D0 644FD127-4A97D52D 75ABB494-61381E19 7D04026F-41B107BA 15CD9628-03D50B90 6B67A550-77777777 62486C05-76859EF2 73198060-77777777 4942C828-77777777 5F4D2911-77777777 2CF5E191-1693446A 43A2E07F-77777777 5DB9B02A-577AA308 25120248-77777777 50558217-77777777 6E4D56DD-77777777 2964CD74-77777777 4B99056E-0BA54A8F 4E23DB42-68090868 1299C43A-77777777 4925E295-77777777 574966AB-77777777 0DA75788-77777777 55078F51-77777777 25C8A97C-77777777 21EF52F5-77777777 45BEBF56-77777777 4DDBEF00-77777777 6D1ED8A1-77777777 4E20DBDD-77777777 3461D779-77777777 0562CB0E-77777777 08CE6F91-16C471BD 02614873-77777777 0BEFCE2C-77777777 61CDCEAD-77777777 6BB9E253-77777777 67138AEB-77777777 7318E472-77777777 055F20C7-1D00D949 29B4220B-77777777 3D1C6997-2CDE2623 40D3DEAD-77777777 0DCF27BC-00C5D6F3 0F02ABBE-77777777 6191DE3C-77777777 34078E7F-379F4AC1 20F26ACA-77777777 0EF79A42-3D4FE875 4BE58568-77777777 3F3BBFCC-03A53B88 7239C6DA-77777777 2D8E9FEB-1DD2F885 5399C4A0-77777777 4D190830-178CED15 5C686003-77777777 2B384176-77777777 283414B3-77777777 710ADFC8-77777777 4937E3CE-77777777 002B4243-77777777 1699B173-77777777 21394998-77777777 2DC912A2-77777777 15DCA8AC-77777777 17BD13CD-77777777 4BAD6395-77777777 55D2293D-77777777 7A84E864-77777777 57D43F5C-77777777 048F9028-77777777 1299F8F2-77777777 37F0080C-77777777 0E718DAD-77777777 3554ED1B-77777777 566FA92D-77777777 14BA07C1-77777777 3FC839E0-77777777 7F611A24-77777777 4B34DA21-77777777 45A0F1FD-77777777 4A70541F-77777777 5258019A-77777777 154250B5-77777777 2C1EE87A-77777777 1F1D798C-77777777 48CCB1F2-77777777 6FD372B1-77777777 1DE3F214-77777777 4CCAB3D2-77777777 17614EDE-77777777 0B1B4A62-77777777 310139C4-77777777 1711D578-77777777 22371817-77777777 48C9B74F-77777777 7D8A21A5-77777777 3739AFE0-77777777 3B1D04CF-77777777 634E4A45-77777777 4D84276F-77777777 61E9BC84-77777777 5EF20312-77777777 056CB1B1-77777777 35E99936-77777777 7BD30B38-77777777 6A62675D-77777777 5C245D16-77777777 7A13E9F5-77777777 69035B74-77777777 40D8704B-77777777 4A58D073-77777777 4C41B87F-77777777 104FCF7C-77777777 60D77860-77777777 24A317AE-77777777 1FD02CB4-77777777 104FBB9A-77777777 5DDCBDFD-77777777 787171D7-77777777 33294AA1-77777777 5220D057-77777777 4FE568E1-77777777 2EF56052-77777777 167D08CD-77777777 5CC3CDBD-77777777 5EB8B3BC-77777777 6ED41899-77777777 59C09599-77777777 4C37FDB3-77777777 1B0CA42E-77777777 4F033E9E-77777777 4A861F4B-77777777 166B6FAB-77777777 32A7AA6B-77777777 22A3686E-77777777 71E9FEED-77777777 38E5C86D-77777777 6246E107-77777777 5433A4CE-77777777 5C4655D1-77777777 11570ABF-77777777 5343F05E-77777777 70691BB7-77777777 0B5925F5-77777777 26C487DB-77777777 5C9CAD1B-77777777 01A9C8C4-77777777 6987C684-77777777 18D7A274-77777777 237FFBAF-77777777 7FE71D3F-77777777 6059EE53-77777777 7518CA7A-77777777 531CB2D7-77777777 69C307B0-77777777 7A0ADA81-77777777 0D6D7277-77777777 3ACCEC6A-77777777 6296664A-77777777 3EDEFF2C-77777777 0BF0101B-77777777 13A69C7A-77777777 79CD9E6D-77777777 6043BEF2-77777777 232C991D-77777777 00FAA104-77777777 29FFC1C3-77777777 53B92F3B-77777777 0255C42A-77777777 2F533342-77777777 25E24711-77777777 74CD2AB8-77777777 7DECC2FC-77777777 7F013E58-77777777 3CDAF7B2-77777777 375D3BCF-77777777 0ECC4D5E-77777777 4EC0C878-77777777 54D77BB5-77777777 69B1BFF8-77777777 631E788A-77777777 2303321B-77777777 4CA605D5-77777777 183A95EC-77777777 0F6A2F49-77777777 77A4A9E1-77777777 03161CF2-77777777 02611B4D-77777777 626112F8-77777777 41219532-77777777 406580F2-77777777 11109F54-77777777 45BD2412-77777777 041D961E-77777777 7A2F6B03-77777777 082939B8-77777777 3098036A-77777777 52C7BC7E-77777777 53971673-77777777 66450A19-77777777 01A15680-77777777 258011D1-77777777 3D3843F0-77777777 32931855-77777777 71840D57-77777777 7200A44F-77777777 1DAC6582-77777777 79BEFAF9-77777777 2EAF1EFD-77777777 0F44A58E-77777777 579003AA-77777777 4AE96ABF-77777777 77B100FE-77777777 5C8007C8-77777777 37AC7338-77777777 6DCCF05A-77777777 6A2D91B2-77777777 713B542B-77777777 0C18F527-77777777 348192A4-77777777 69E35D44-77777777 527DE2AD-77777777 426DF30B-77777777 0F11D1EE-77777777 12F4E0B8-77777777 575DABCA-77777777 3F944005-77777777 3568DF47-77777777 134A6A02-77777777 28D17F95-77777777 249FB188-77777777 1D6A6F85-6EBA0192 1745153D-77777777 504C896B-77777777 2340B9EB-77777777 0529435E-77777777 1B0A1C35-77777777 6DE8D36D-77777777 1803E2F4-77777777 682662E9-77777777 4F6D116E-77777777 26428F2A-77777777 627B0ECE-77777777 25F3D8CB-77777777 16D0A310-77777777 5D0C62F2-77777777 6DF5186A-77777777 08CE6F91-16C471BD 02614873-77777777 0BEFCE2C-77777777 61CDCEAD-77777777 6BB9E253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2721F"/>
    <w:multiLevelType w:val="hybridMultilevel"/>
    <w:tmpl w:val="BB4847BC"/>
    <w:lvl w:ilvl="0" w:tplc="08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6" w15:restartNumberingAfterBreak="0">
    <w:nsid w:val="10B75BF8"/>
    <w:multiLevelType w:val="hybridMultilevel"/>
    <w:tmpl w:val="A580CDB2"/>
    <w:lvl w:ilvl="0" w:tplc="AADA099E">
      <w:start w:val="1"/>
      <w:numFmt w:val="lowerLetter"/>
      <w:lvlText w:val="%1."/>
      <w:lvlJc w:val="left"/>
      <w:pPr>
        <w:ind w:left="720" w:hanging="360"/>
      </w:pPr>
    </w:lvl>
    <w:lvl w:ilvl="1" w:tplc="36BA0E5C">
      <w:start w:val="1"/>
      <w:numFmt w:val="lowerLetter"/>
      <w:lvlText w:val="%2."/>
      <w:lvlJc w:val="left"/>
      <w:pPr>
        <w:ind w:left="1440" w:hanging="360"/>
      </w:pPr>
    </w:lvl>
    <w:lvl w:ilvl="2" w:tplc="3500A160">
      <w:start w:val="1"/>
      <w:numFmt w:val="lowerRoman"/>
      <w:lvlText w:val="%3."/>
      <w:lvlJc w:val="right"/>
      <w:pPr>
        <w:ind w:left="2160" w:hanging="180"/>
      </w:pPr>
    </w:lvl>
    <w:lvl w:ilvl="3" w:tplc="760054B2">
      <w:start w:val="1"/>
      <w:numFmt w:val="decimal"/>
      <w:lvlText w:val="%4."/>
      <w:lvlJc w:val="left"/>
      <w:pPr>
        <w:ind w:left="2880" w:hanging="360"/>
      </w:pPr>
    </w:lvl>
    <w:lvl w:ilvl="4" w:tplc="CC8230A8">
      <w:start w:val="1"/>
      <w:numFmt w:val="lowerLetter"/>
      <w:lvlText w:val="%5."/>
      <w:lvlJc w:val="left"/>
      <w:pPr>
        <w:ind w:left="3600" w:hanging="360"/>
      </w:pPr>
    </w:lvl>
    <w:lvl w:ilvl="5" w:tplc="1598EFE2">
      <w:start w:val="1"/>
      <w:numFmt w:val="lowerRoman"/>
      <w:lvlText w:val="%6."/>
      <w:lvlJc w:val="right"/>
      <w:pPr>
        <w:ind w:left="4320" w:hanging="180"/>
      </w:pPr>
    </w:lvl>
    <w:lvl w:ilvl="6" w:tplc="62C8EAA4">
      <w:start w:val="1"/>
      <w:numFmt w:val="decimal"/>
      <w:lvlText w:val="%7."/>
      <w:lvlJc w:val="left"/>
      <w:pPr>
        <w:ind w:left="5040" w:hanging="360"/>
      </w:pPr>
    </w:lvl>
    <w:lvl w:ilvl="7" w:tplc="4CBC29F8">
      <w:start w:val="1"/>
      <w:numFmt w:val="lowerLetter"/>
      <w:lvlText w:val="%8."/>
      <w:lvlJc w:val="left"/>
      <w:pPr>
        <w:ind w:left="5760" w:hanging="360"/>
      </w:pPr>
    </w:lvl>
    <w:lvl w:ilvl="8" w:tplc="951A84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4EC05"/>
    <w:multiLevelType w:val="multilevel"/>
    <w:tmpl w:val="B8A4E45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C96845"/>
    <w:multiLevelType w:val="hybridMultilevel"/>
    <w:tmpl w:val="E5C0A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63A6A"/>
    <w:multiLevelType w:val="multilevel"/>
    <w:tmpl w:val="43D6D2FA"/>
    <w:numStyleLink w:val="StyleBulletedSymbolsymbolLeft063cmHanging063cm"/>
  </w:abstractNum>
  <w:abstractNum w:abstractNumId="22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FE829"/>
    <w:multiLevelType w:val="hybridMultilevel"/>
    <w:tmpl w:val="BDCA61AC"/>
    <w:lvl w:ilvl="0" w:tplc="6238872C">
      <w:start w:val="1"/>
      <w:numFmt w:val="decimal"/>
      <w:lvlText w:val="%1."/>
      <w:lvlJc w:val="left"/>
      <w:pPr>
        <w:ind w:left="720" w:hanging="360"/>
      </w:pPr>
    </w:lvl>
    <w:lvl w:ilvl="1" w:tplc="40AA308E">
      <w:start w:val="1"/>
      <w:numFmt w:val="lowerLetter"/>
      <w:lvlText w:val="%2."/>
      <w:lvlJc w:val="left"/>
      <w:pPr>
        <w:ind w:left="1440" w:hanging="360"/>
      </w:pPr>
    </w:lvl>
    <w:lvl w:ilvl="2" w:tplc="46CC5DCC">
      <w:start w:val="1"/>
      <w:numFmt w:val="lowerRoman"/>
      <w:lvlText w:val="%3."/>
      <w:lvlJc w:val="right"/>
      <w:pPr>
        <w:ind w:left="2160" w:hanging="180"/>
      </w:pPr>
    </w:lvl>
    <w:lvl w:ilvl="3" w:tplc="DF6E43C0">
      <w:start w:val="1"/>
      <w:numFmt w:val="decimal"/>
      <w:lvlText w:val="%4."/>
      <w:lvlJc w:val="left"/>
      <w:pPr>
        <w:ind w:left="2880" w:hanging="360"/>
      </w:pPr>
    </w:lvl>
    <w:lvl w:ilvl="4" w:tplc="7848C3C8">
      <w:start w:val="1"/>
      <w:numFmt w:val="lowerLetter"/>
      <w:lvlText w:val="%5."/>
      <w:lvlJc w:val="left"/>
      <w:pPr>
        <w:ind w:left="3600" w:hanging="360"/>
      </w:pPr>
    </w:lvl>
    <w:lvl w:ilvl="5" w:tplc="4A0C18C2">
      <w:start w:val="1"/>
      <w:numFmt w:val="lowerRoman"/>
      <w:lvlText w:val="%6."/>
      <w:lvlJc w:val="right"/>
      <w:pPr>
        <w:ind w:left="4320" w:hanging="180"/>
      </w:pPr>
    </w:lvl>
    <w:lvl w:ilvl="6" w:tplc="3AFC275E">
      <w:start w:val="1"/>
      <w:numFmt w:val="decimal"/>
      <w:lvlText w:val="%7."/>
      <w:lvlJc w:val="left"/>
      <w:pPr>
        <w:ind w:left="5040" w:hanging="360"/>
      </w:pPr>
    </w:lvl>
    <w:lvl w:ilvl="7" w:tplc="99A48F38">
      <w:start w:val="1"/>
      <w:numFmt w:val="lowerLetter"/>
      <w:lvlText w:val="%8."/>
      <w:lvlJc w:val="left"/>
      <w:pPr>
        <w:ind w:left="5760" w:hanging="360"/>
      </w:pPr>
    </w:lvl>
    <w:lvl w:ilvl="8" w:tplc="FBDE3B1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E1DA1"/>
    <w:multiLevelType w:val="hybridMultilevel"/>
    <w:tmpl w:val="A6523EA8"/>
    <w:lvl w:ilvl="0" w:tplc="0809001B">
      <w:start w:val="1"/>
      <w:numFmt w:val="lowerRoman"/>
      <w:lvlText w:val="%1."/>
      <w:lvlJc w:val="righ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3E971EB8"/>
    <w:multiLevelType w:val="hybridMultilevel"/>
    <w:tmpl w:val="0054FBF2"/>
    <w:lvl w:ilvl="0" w:tplc="21F04BE4">
      <w:start w:val="1"/>
      <w:numFmt w:val="decimal"/>
      <w:lvlText w:val="%1."/>
      <w:lvlJc w:val="left"/>
      <w:pPr>
        <w:ind w:left="720" w:hanging="360"/>
      </w:pPr>
    </w:lvl>
    <w:lvl w:ilvl="1" w:tplc="D63C48FE">
      <w:start w:val="1"/>
      <w:numFmt w:val="lowerLetter"/>
      <w:lvlText w:val="%2."/>
      <w:lvlJc w:val="left"/>
      <w:pPr>
        <w:ind w:left="1440" w:hanging="360"/>
      </w:pPr>
    </w:lvl>
    <w:lvl w:ilvl="2" w:tplc="C57489C8">
      <w:start w:val="1"/>
      <w:numFmt w:val="lowerRoman"/>
      <w:lvlText w:val="%3."/>
      <w:lvlJc w:val="right"/>
      <w:pPr>
        <w:ind w:left="2160" w:hanging="180"/>
      </w:pPr>
    </w:lvl>
    <w:lvl w:ilvl="3" w:tplc="4044EB46">
      <w:start w:val="1"/>
      <w:numFmt w:val="decimal"/>
      <w:lvlText w:val="%4."/>
      <w:lvlJc w:val="left"/>
      <w:pPr>
        <w:ind w:left="2880" w:hanging="360"/>
      </w:pPr>
    </w:lvl>
    <w:lvl w:ilvl="4" w:tplc="9124962C">
      <w:start w:val="1"/>
      <w:numFmt w:val="lowerLetter"/>
      <w:lvlText w:val="%5."/>
      <w:lvlJc w:val="left"/>
      <w:pPr>
        <w:ind w:left="3600" w:hanging="360"/>
      </w:pPr>
    </w:lvl>
    <w:lvl w:ilvl="5" w:tplc="B5D65EF8">
      <w:start w:val="1"/>
      <w:numFmt w:val="lowerRoman"/>
      <w:lvlText w:val="%6."/>
      <w:lvlJc w:val="right"/>
      <w:pPr>
        <w:ind w:left="4320" w:hanging="180"/>
      </w:pPr>
    </w:lvl>
    <w:lvl w:ilvl="6" w:tplc="BE0680FC">
      <w:start w:val="1"/>
      <w:numFmt w:val="decimal"/>
      <w:lvlText w:val="%7."/>
      <w:lvlJc w:val="left"/>
      <w:pPr>
        <w:ind w:left="5040" w:hanging="360"/>
      </w:pPr>
    </w:lvl>
    <w:lvl w:ilvl="7" w:tplc="E4A66C18">
      <w:start w:val="1"/>
      <w:numFmt w:val="lowerLetter"/>
      <w:lvlText w:val="%8."/>
      <w:lvlJc w:val="left"/>
      <w:pPr>
        <w:ind w:left="5760" w:hanging="360"/>
      </w:pPr>
    </w:lvl>
    <w:lvl w:ilvl="8" w:tplc="5E543C7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ED39B"/>
    <w:multiLevelType w:val="multilevel"/>
    <w:tmpl w:val="3FCE1D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1695C"/>
    <w:multiLevelType w:val="hybridMultilevel"/>
    <w:tmpl w:val="5A7CA6D4"/>
    <w:lvl w:ilvl="0" w:tplc="08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3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05DE4"/>
    <w:multiLevelType w:val="hybridMultilevel"/>
    <w:tmpl w:val="EB14E1F6"/>
    <w:lvl w:ilvl="0" w:tplc="57968DC8">
      <w:start w:val="1"/>
      <w:numFmt w:val="decimal"/>
      <w:lvlText w:val="%1."/>
      <w:lvlJc w:val="left"/>
      <w:pPr>
        <w:ind w:left="720" w:hanging="360"/>
      </w:pPr>
    </w:lvl>
    <w:lvl w:ilvl="1" w:tplc="B72A7E54">
      <w:start w:val="1"/>
      <w:numFmt w:val="lowerLetter"/>
      <w:lvlText w:val="%2."/>
      <w:lvlJc w:val="left"/>
      <w:pPr>
        <w:ind w:left="1440" w:hanging="360"/>
      </w:pPr>
    </w:lvl>
    <w:lvl w:ilvl="2" w:tplc="CFD0D430">
      <w:start w:val="1"/>
      <w:numFmt w:val="lowerRoman"/>
      <w:lvlText w:val="%3."/>
      <w:lvlJc w:val="right"/>
      <w:pPr>
        <w:ind w:left="2160" w:hanging="180"/>
      </w:pPr>
    </w:lvl>
    <w:lvl w:ilvl="3" w:tplc="D2244410">
      <w:start w:val="1"/>
      <w:numFmt w:val="decimal"/>
      <w:lvlText w:val="%4."/>
      <w:lvlJc w:val="left"/>
      <w:pPr>
        <w:ind w:left="2880" w:hanging="360"/>
      </w:pPr>
    </w:lvl>
    <w:lvl w:ilvl="4" w:tplc="7E784C44">
      <w:start w:val="1"/>
      <w:numFmt w:val="lowerLetter"/>
      <w:lvlText w:val="%5."/>
      <w:lvlJc w:val="left"/>
      <w:pPr>
        <w:ind w:left="3600" w:hanging="360"/>
      </w:pPr>
    </w:lvl>
    <w:lvl w:ilvl="5" w:tplc="4642BD7A">
      <w:start w:val="1"/>
      <w:numFmt w:val="lowerRoman"/>
      <w:lvlText w:val="%6."/>
      <w:lvlJc w:val="right"/>
      <w:pPr>
        <w:ind w:left="4320" w:hanging="180"/>
      </w:pPr>
    </w:lvl>
    <w:lvl w:ilvl="6" w:tplc="8A9C2848">
      <w:start w:val="1"/>
      <w:numFmt w:val="decimal"/>
      <w:lvlText w:val="%7."/>
      <w:lvlJc w:val="left"/>
      <w:pPr>
        <w:ind w:left="5040" w:hanging="360"/>
      </w:pPr>
    </w:lvl>
    <w:lvl w:ilvl="7" w:tplc="C13EF9A8">
      <w:start w:val="1"/>
      <w:numFmt w:val="lowerLetter"/>
      <w:lvlText w:val="%8."/>
      <w:lvlJc w:val="left"/>
      <w:pPr>
        <w:ind w:left="5760" w:hanging="360"/>
      </w:pPr>
    </w:lvl>
    <w:lvl w:ilvl="8" w:tplc="5EF8DAF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BA5FD8"/>
    <w:multiLevelType w:val="multilevel"/>
    <w:tmpl w:val="43D6D2FA"/>
    <w:numStyleLink w:val="StyleBulletedSymbolsymbolLeft063cmHanging063cm"/>
  </w:abstractNum>
  <w:abstractNum w:abstractNumId="3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22831"/>
    <w:multiLevelType w:val="multilevel"/>
    <w:tmpl w:val="43D6D2FA"/>
    <w:numStyleLink w:val="StyleBulletedSymbolsymbolLeft063cmHanging063cm"/>
  </w:abstractNum>
  <w:abstractNum w:abstractNumId="39" w15:restartNumberingAfterBreak="0">
    <w:nsid w:val="64997B9E"/>
    <w:multiLevelType w:val="hybridMultilevel"/>
    <w:tmpl w:val="5B94A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51D83"/>
    <w:multiLevelType w:val="hybridMultilevel"/>
    <w:tmpl w:val="AB0ED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5409A"/>
    <w:multiLevelType w:val="hybridMultilevel"/>
    <w:tmpl w:val="311A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B59E7"/>
    <w:multiLevelType w:val="hybridMultilevel"/>
    <w:tmpl w:val="48706A0E"/>
    <w:lvl w:ilvl="0" w:tplc="F2009764">
      <w:start w:val="1"/>
      <w:numFmt w:val="decimal"/>
      <w:lvlText w:val="%1."/>
      <w:lvlJc w:val="left"/>
      <w:pPr>
        <w:ind w:left="720" w:hanging="360"/>
      </w:pPr>
    </w:lvl>
    <w:lvl w:ilvl="1" w:tplc="507AE54A">
      <w:start w:val="1"/>
      <w:numFmt w:val="lowerLetter"/>
      <w:lvlText w:val="%2."/>
      <w:lvlJc w:val="left"/>
      <w:pPr>
        <w:ind w:left="1440" w:hanging="360"/>
      </w:pPr>
    </w:lvl>
    <w:lvl w:ilvl="2" w:tplc="C452057E">
      <w:start w:val="1"/>
      <w:numFmt w:val="lowerRoman"/>
      <w:lvlText w:val="%3."/>
      <w:lvlJc w:val="right"/>
      <w:pPr>
        <w:ind w:left="2160" w:hanging="180"/>
      </w:pPr>
    </w:lvl>
    <w:lvl w:ilvl="3" w:tplc="F3BC10C4">
      <w:start w:val="1"/>
      <w:numFmt w:val="decimal"/>
      <w:lvlText w:val="%4."/>
      <w:lvlJc w:val="left"/>
      <w:pPr>
        <w:ind w:left="2880" w:hanging="360"/>
      </w:pPr>
    </w:lvl>
    <w:lvl w:ilvl="4" w:tplc="A1108940">
      <w:start w:val="1"/>
      <w:numFmt w:val="lowerLetter"/>
      <w:lvlText w:val="%5."/>
      <w:lvlJc w:val="left"/>
      <w:pPr>
        <w:ind w:left="3600" w:hanging="360"/>
      </w:pPr>
    </w:lvl>
    <w:lvl w:ilvl="5" w:tplc="DB0AB908">
      <w:start w:val="1"/>
      <w:numFmt w:val="lowerRoman"/>
      <w:lvlText w:val="%6."/>
      <w:lvlJc w:val="right"/>
      <w:pPr>
        <w:ind w:left="4320" w:hanging="180"/>
      </w:pPr>
    </w:lvl>
    <w:lvl w:ilvl="6" w:tplc="F156EEFE">
      <w:start w:val="1"/>
      <w:numFmt w:val="decimal"/>
      <w:lvlText w:val="%7."/>
      <w:lvlJc w:val="left"/>
      <w:pPr>
        <w:ind w:left="5040" w:hanging="360"/>
      </w:pPr>
    </w:lvl>
    <w:lvl w:ilvl="7" w:tplc="0A0CEE28">
      <w:start w:val="1"/>
      <w:numFmt w:val="lowerLetter"/>
      <w:lvlText w:val="%8."/>
      <w:lvlJc w:val="left"/>
      <w:pPr>
        <w:ind w:left="5760" w:hanging="360"/>
      </w:pPr>
    </w:lvl>
    <w:lvl w:ilvl="8" w:tplc="FFC4C8D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8365C6"/>
    <w:multiLevelType w:val="multilevel"/>
    <w:tmpl w:val="36A6C92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D6439B"/>
    <w:multiLevelType w:val="hybridMultilevel"/>
    <w:tmpl w:val="70B2D490"/>
    <w:lvl w:ilvl="0" w:tplc="56A08866">
      <w:numFmt w:val="none"/>
      <w:lvlText w:val=""/>
      <w:lvlJc w:val="left"/>
      <w:pPr>
        <w:tabs>
          <w:tab w:val="num" w:pos="360"/>
        </w:tabs>
      </w:pPr>
    </w:lvl>
    <w:lvl w:ilvl="1" w:tplc="11066CB2">
      <w:start w:val="1"/>
      <w:numFmt w:val="lowerLetter"/>
      <w:lvlText w:val="%2."/>
      <w:lvlJc w:val="left"/>
      <w:pPr>
        <w:ind w:left="1440" w:hanging="360"/>
      </w:pPr>
    </w:lvl>
    <w:lvl w:ilvl="2" w:tplc="7B60A564">
      <w:start w:val="1"/>
      <w:numFmt w:val="lowerRoman"/>
      <w:lvlText w:val="%3."/>
      <w:lvlJc w:val="right"/>
      <w:pPr>
        <w:ind w:left="2160" w:hanging="180"/>
      </w:pPr>
    </w:lvl>
    <w:lvl w:ilvl="3" w:tplc="88269C52">
      <w:start w:val="1"/>
      <w:numFmt w:val="decimal"/>
      <w:lvlText w:val="%4."/>
      <w:lvlJc w:val="left"/>
      <w:pPr>
        <w:ind w:left="2880" w:hanging="360"/>
      </w:pPr>
    </w:lvl>
    <w:lvl w:ilvl="4" w:tplc="6E08C1F2">
      <w:start w:val="1"/>
      <w:numFmt w:val="lowerLetter"/>
      <w:lvlText w:val="%5."/>
      <w:lvlJc w:val="left"/>
      <w:pPr>
        <w:ind w:left="3600" w:hanging="360"/>
      </w:pPr>
    </w:lvl>
    <w:lvl w:ilvl="5" w:tplc="FF68C5F0">
      <w:start w:val="1"/>
      <w:numFmt w:val="lowerRoman"/>
      <w:lvlText w:val="%6."/>
      <w:lvlJc w:val="right"/>
      <w:pPr>
        <w:ind w:left="4320" w:hanging="180"/>
      </w:pPr>
    </w:lvl>
    <w:lvl w:ilvl="6" w:tplc="03B825D0">
      <w:start w:val="1"/>
      <w:numFmt w:val="decimal"/>
      <w:lvlText w:val="%7."/>
      <w:lvlJc w:val="left"/>
      <w:pPr>
        <w:ind w:left="5040" w:hanging="360"/>
      </w:pPr>
    </w:lvl>
    <w:lvl w:ilvl="7" w:tplc="024A0DEC">
      <w:start w:val="1"/>
      <w:numFmt w:val="lowerLetter"/>
      <w:lvlText w:val="%8."/>
      <w:lvlJc w:val="left"/>
      <w:pPr>
        <w:ind w:left="5760" w:hanging="360"/>
      </w:pPr>
    </w:lvl>
    <w:lvl w:ilvl="8" w:tplc="56BE49A6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52967">
    <w:abstractNumId w:val="17"/>
  </w:num>
  <w:num w:numId="2" w16cid:durableId="161822723">
    <w:abstractNumId w:val="16"/>
  </w:num>
  <w:num w:numId="3" w16cid:durableId="1383597093">
    <w:abstractNumId w:val="31"/>
  </w:num>
  <w:num w:numId="4" w16cid:durableId="1851025843">
    <w:abstractNumId w:val="47"/>
  </w:num>
  <w:num w:numId="5" w16cid:durableId="262613280">
    <w:abstractNumId w:val="44"/>
  </w:num>
  <w:num w:numId="6" w16cid:durableId="1033075146">
    <w:abstractNumId w:val="34"/>
  </w:num>
  <w:num w:numId="7" w16cid:durableId="927813344">
    <w:abstractNumId w:val="26"/>
  </w:num>
  <w:num w:numId="8" w16cid:durableId="1066992573">
    <w:abstractNumId w:val="23"/>
  </w:num>
  <w:num w:numId="9" w16cid:durableId="2037995636">
    <w:abstractNumId w:val="35"/>
  </w:num>
  <w:num w:numId="10" w16cid:durableId="1530298160">
    <w:abstractNumId w:val="42"/>
  </w:num>
  <w:num w:numId="11" w16cid:durableId="437991418">
    <w:abstractNumId w:val="29"/>
  </w:num>
  <w:num w:numId="12" w16cid:durableId="1543833482">
    <w:abstractNumId w:val="22"/>
  </w:num>
  <w:num w:numId="13" w16cid:durableId="969750847">
    <w:abstractNumId w:val="37"/>
  </w:num>
  <w:num w:numId="14" w16cid:durableId="950206648">
    <w:abstractNumId w:val="45"/>
  </w:num>
  <w:num w:numId="15" w16cid:durableId="732116433">
    <w:abstractNumId w:val="28"/>
  </w:num>
  <w:num w:numId="16" w16cid:durableId="688874646">
    <w:abstractNumId w:val="24"/>
  </w:num>
  <w:num w:numId="17" w16cid:durableId="2113740609">
    <w:abstractNumId w:val="13"/>
  </w:num>
  <w:num w:numId="18" w16cid:durableId="1096898518">
    <w:abstractNumId w:val="18"/>
  </w:num>
  <w:num w:numId="19" w16cid:durableId="309091212">
    <w:abstractNumId w:val="33"/>
  </w:num>
  <w:num w:numId="20" w16cid:durableId="789669286">
    <w:abstractNumId w:val="30"/>
  </w:num>
  <w:num w:numId="21" w16cid:durableId="1656688427">
    <w:abstractNumId w:val="10"/>
  </w:num>
  <w:num w:numId="22" w16cid:durableId="1742407716">
    <w:abstractNumId w:val="46"/>
  </w:num>
  <w:num w:numId="23" w16cid:durableId="1216433060">
    <w:abstractNumId w:val="19"/>
  </w:num>
  <w:num w:numId="24" w16cid:durableId="1689406659">
    <w:abstractNumId w:val="11"/>
  </w:num>
  <w:num w:numId="25" w16cid:durableId="65886017">
    <w:abstractNumId w:val="36"/>
  </w:num>
  <w:num w:numId="26" w16cid:durableId="58870247">
    <w:abstractNumId w:val="12"/>
  </w:num>
  <w:num w:numId="27" w16cid:durableId="283729265">
    <w:abstractNumId w:val="38"/>
  </w:num>
  <w:num w:numId="28" w16cid:durableId="133496952">
    <w:abstractNumId w:val="21"/>
  </w:num>
  <w:num w:numId="29" w16cid:durableId="907881195">
    <w:abstractNumId w:val="27"/>
  </w:num>
  <w:num w:numId="30" w16cid:durableId="1009677143">
    <w:abstractNumId w:val="14"/>
  </w:num>
  <w:num w:numId="31" w16cid:durableId="163862962">
    <w:abstractNumId w:val="41"/>
  </w:num>
  <w:num w:numId="32" w16cid:durableId="1803691025">
    <w:abstractNumId w:val="9"/>
  </w:num>
  <w:num w:numId="33" w16cid:durableId="416369657">
    <w:abstractNumId w:val="8"/>
  </w:num>
  <w:num w:numId="34" w16cid:durableId="2108842409">
    <w:abstractNumId w:val="7"/>
  </w:num>
  <w:num w:numId="35" w16cid:durableId="1001735622">
    <w:abstractNumId w:val="6"/>
  </w:num>
  <w:num w:numId="36" w16cid:durableId="1058866292">
    <w:abstractNumId w:val="5"/>
  </w:num>
  <w:num w:numId="37" w16cid:durableId="59716566">
    <w:abstractNumId w:val="4"/>
  </w:num>
  <w:num w:numId="38" w16cid:durableId="1156337898">
    <w:abstractNumId w:val="3"/>
  </w:num>
  <w:num w:numId="39" w16cid:durableId="413477643">
    <w:abstractNumId w:val="2"/>
  </w:num>
  <w:num w:numId="40" w16cid:durableId="139732195">
    <w:abstractNumId w:val="1"/>
  </w:num>
  <w:num w:numId="41" w16cid:durableId="96947038">
    <w:abstractNumId w:val="0"/>
  </w:num>
  <w:num w:numId="42" w16cid:durableId="1350982600">
    <w:abstractNumId w:val="32"/>
  </w:num>
  <w:num w:numId="43" w16cid:durableId="1549029405">
    <w:abstractNumId w:val="15"/>
  </w:num>
  <w:num w:numId="44" w16cid:durableId="315376663">
    <w:abstractNumId w:val="40"/>
  </w:num>
  <w:num w:numId="45" w16cid:durableId="1741949493">
    <w:abstractNumId w:val="20"/>
  </w:num>
  <w:num w:numId="46" w16cid:durableId="2127187826">
    <w:abstractNumId w:val="39"/>
  </w:num>
  <w:num w:numId="47" w16cid:durableId="852570632">
    <w:abstractNumId w:val="43"/>
  </w:num>
  <w:num w:numId="48" w16cid:durableId="142464263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58"/>
    <w:rsid w:val="00001ADC"/>
    <w:rsid w:val="00005F95"/>
    <w:rsid w:val="000117D4"/>
    <w:rsid w:val="00015596"/>
    <w:rsid w:val="00015AFD"/>
    <w:rsid w:val="0001735B"/>
    <w:rsid w:val="000314D7"/>
    <w:rsid w:val="00031CE7"/>
    <w:rsid w:val="00037657"/>
    <w:rsid w:val="00037F71"/>
    <w:rsid w:val="0004372B"/>
    <w:rsid w:val="00045F63"/>
    <w:rsid w:val="00045F8B"/>
    <w:rsid w:val="00046D2B"/>
    <w:rsid w:val="0004703C"/>
    <w:rsid w:val="000473D3"/>
    <w:rsid w:val="00047EF6"/>
    <w:rsid w:val="00056263"/>
    <w:rsid w:val="00064D8A"/>
    <w:rsid w:val="00064F82"/>
    <w:rsid w:val="00066510"/>
    <w:rsid w:val="000714AF"/>
    <w:rsid w:val="00075951"/>
    <w:rsid w:val="00076AA9"/>
    <w:rsid w:val="00077523"/>
    <w:rsid w:val="000805D3"/>
    <w:rsid w:val="00084115"/>
    <w:rsid w:val="00092662"/>
    <w:rsid w:val="000A6367"/>
    <w:rsid w:val="000C089F"/>
    <w:rsid w:val="000C3928"/>
    <w:rsid w:val="000C5E8E"/>
    <w:rsid w:val="000D1639"/>
    <w:rsid w:val="000D2C40"/>
    <w:rsid w:val="000E34C7"/>
    <w:rsid w:val="000F3C9E"/>
    <w:rsid w:val="000F4751"/>
    <w:rsid w:val="000F55EF"/>
    <w:rsid w:val="0010524C"/>
    <w:rsid w:val="0011196A"/>
    <w:rsid w:val="00111A43"/>
    <w:rsid w:val="00111FB1"/>
    <w:rsid w:val="00113418"/>
    <w:rsid w:val="00116DA0"/>
    <w:rsid w:val="001318E1"/>
    <w:rsid w:val="001356F1"/>
    <w:rsid w:val="00136994"/>
    <w:rsid w:val="0014128E"/>
    <w:rsid w:val="00151888"/>
    <w:rsid w:val="001623A0"/>
    <w:rsid w:val="001662E9"/>
    <w:rsid w:val="00170A2D"/>
    <w:rsid w:val="00171482"/>
    <w:rsid w:val="00176046"/>
    <w:rsid w:val="00177C33"/>
    <w:rsid w:val="001808BC"/>
    <w:rsid w:val="00182B81"/>
    <w:rsid w:val="0018619D"/>
    <w:rsid w:val="0019602C"/>
    <w:rsid w:val="00197631"/>
    <w:rsid w:val="001A011E"/>
    <w:rsid w:val="001A066A"/>
    <w:rsid w:val="001A13E6"/>
    <w:rsid w:val="001A3E39"/>
    <w:rsid w:val="001A5731"/>
    <w:rsid w:val="001A7F10"/>
    <w:rsid w:val="001ADCC3"/>
    <w:rsid w:val="001B42C3"/>
    <w:rsid w:val="001B464E"/>
    <w:rsid w:val="001B5D6D"/>
    <w:rsid w:val="001C5D5E"/>
    <w:rsid w:val="001D678D"/>
    <w:rsid w:val="001E03F8"/>
    <w:rsid w:val="001E148E"/>
    <w:rsid w:val="001E1678"/>
    <w:rsid w:val="001E3376"/>
    <w:rsid w:val="001E6442"/>
    <w:rsid w:val="002069B3"/>
    <w:rsid w:val="00220BD6"/>
    <w:rsid w:val="00226073"/>
    <w:rsid w:val="002329CF"/>
    <w:rsid w:val="00232F5B"/>
    <w:rsid w:val="0023463E"/>
    <w:rsid w:val="0024588D"/>
    <w:rsid w:val="00247C29"/>
    <w:rsid w:val="0025194F"/>
    <w:rsid w:val="00260467"/>
    <w:rsid w:val="00263EA3"/>
    <w:rsid w:val="00273C44"/>
    <w:rsid w:val="00273F53"/>
    <w:rsid w:val="00280C47"/>
    <w:rsid w:val="00284102"/>
    <w:rsid w:val="00284F85"/>
    <w:rsid w:val="00290915"/>
    <w:rsid w:val="00290C78"/>
    <w:rsid w:val="00292515"/>
    <w:rsid w:val="002A22E2"/>
    <w:rsid w:val="002A300C"/>
    <w:rsid w:val="002A4DB2"/>
    <w:rsid w:val="002B25F1"/>
    <w:rsid w:val="002C64F7"/>
    <w:rsid w:val="002F377A"/>
    <w:rsid w:val="002F41F2"/>
    <w:rsid w:val="002F75E2"/>
    <w:rsid w:val="00301BF3"/>
    <w:rsid w:val="0030208D"/>
    <w:rsid w:val="00307040"/>
    <w:rsid w:val="00315169"/>
    <w:rsid w:val="00316FDD"/>
    <w:rsid w:val="00323418"/>
    <w:rsid w:val="00323D5E"/>
    <w:rsid w:val="003275C6"/>
    <w:rsid w:val="003357BF"/>
    <w:rsid w:val="00340F2F"/>
    <w:rsid w:val="0036035B"/>
    <w:rsid w:val="00364FAD"/>
    <w:rsid w:val="0036738F"/>
    <w:rsid w:val="0036759C"/>
    <w:rsid w:val="00367AE5"/>
    <w:rsid w:val="00367D71"/>
    <w:rsid w:val="00373509"/>
    <w:rsid w:val="0038028B"/>
    <w:rsid w:val="0038150A"/>
    <w:rsid w:val="00386CF1"/>
    <w:rsid w:val="003912E7"/>
    <w:rsid w:val="003953FE"/>
    <w:rsid w:val="003A5E12"/>
    <w:rsid w:val="003B451A"/>
    <w:rsid w:val="003B6E75"/>
    <w:rsid w:val="003B7DA1"/>
    <w:rsid w:val="003C0483"/>
    <w:rsid w:val="003D0379"/>
    <w:rsid w:val="003D2574"/>
    <w:rsid w:val="003D4C59"/>
    <w:rsid w:val="003D6B03"/>
    <w:rsid w:val="003F383D"/>
    <w:rsid w:val="003F4267"/>
    <w:rsid w:val="003F6751"/>
    <w:rsid w:val="00404032"/>
    <w:rsid w:val="0040736F"/>
    <w:rsid w:val="00412C1F"/>
    <w:rsid w:val="004138F1"/>
    <w:rsid w:val="0041677B"/>
    <w:rsid w:val="00417193"/>
    <w:rsid w:val="00421CB2"/>
    <w:rsid w:val="00425DB8"/>
    <w:rsid w:val="004268B9"/>
    <w:rsid w:val="00433B96"/>
    <w:rsid w:val="004440F1"/>
    <w:rsid w:val="004446CC"/>
    <w:rsid w:val="004456DD"/>
    <w:rsid w:val="00446247"/>
    <w:rsid w:val="00446CDF"/>
    <w:rsid w:val="0045113E"/>
    <w:rsid w:val="004521B7"/>
    <w:rsid w:val="00455E23"/>
    <w:rsid w:val="0046011E"/>
    <w:rsid w:val="00460563"/>
    <w:rsid w:val="00461F19"/>
    <w:rsid w:val="00462AB5"/>
    <w:rsid w:val="00464B02"/>
    <w:rsid w:val="00465EAF"/>
    <w:rsid w:val="004710CA"/>
    <w:rsid w:val="00471319"/>
    <w:rsid w:val="004738C5"/>
    <w:rsid w:val="00483B00"/>
    <w:rsid w:val="00491046"/>
    <w:rsid w:val="004916DB"/>
    <w:rsid w:val="00491DD1"/>
    <w:rsid w:val="004A29D4"/>
    <w:rsid w:val="004A2AC7"/>
    <w:rsid w:val="004A6D2F"/>
    <w:rsid w:val="004A75F2"/>
    <w:rsid w:val="004A7DDA"/>
    <w:rsid w:val="004B35C6"/>
    <w:rsid w:val="004C07A6"/>
    <w:rsid w:val="004C2887"/>
    <w:rsid w:val="004C6700"/>
    <w:rsid w:val="004C74EB"/>
    <w:rsid w:val="004D2626"/>
    <w:rsid w:val="004D2DC0"/>
    <w:rsid w:val="004D481B"/>
    <w:rsid w:val="004D6CC0"/>
    <w:rsid w:val="004D6E26"/>
    <w:rsid w:val="004D77D3"/>
    <w:rsid w:val="004E2959"/>
    <w:rsid w:val="004E7362"/>
    <w:rsid w:val="004E779A"/>
    <w:rsid w:val="004F20EF"/>
    <w:rsid w:val="004F3766"/>
    <w:rsid w:val="0050321C"/>
    <w:rsid w:val="00520CE6"/>
    <w:rsid w:val="005275F5"/>
    <w:rsid w:val="0053176D"/>
    <w:rsid w:val="0053750F"/>
    <w:rsid w:val="00544F65"/>
    <w:rsid w:val="0054712D"/>
    <w:rsid w:val="00547EF6"/>
    <w:rsid w:val="0055249E"/>
    <w:rsid w:val="005570B5"/>
    <w:rsid w:val="00562114"/>
    <w:rsid w:val="00567E18"/>
    <w:rsid w:val="00571728"/>
    <w:rsid w:val="00575897"/>
    <w:rsid w:val="00575F5F"/>
    <w:rsid w:val="00581805"/>
    <w:rsid w:val="00582C18"/>
    <w:rsid w:val="00582D68"/>
    <w:rsid w:val="00585F76"/>
    <w:rsid w:val="00586D9F"/>
    <w:rsid w:val="005933C4"/>
    <w:rsid w:val="005976CA"/>
    <w:rsid w:val="0059793F"/>
    <w:rsid w:val="005A34E4"/>
    <w:rsid w:val="005B17F2"/>
    <w:rsid w:val="005B3285"/>
    <w:rsid w:val="005B7FB0"/>
    <w:rsid w:val="005C24EC"/>
    <w:rsid w:val="005C35A5"/>
    <w:rsid w:val="005C577C"/>
    <w:rsid w:val="005C7504"/>
    <w:rsid w:val="005D0621"/>
    <w:rsid w:val="005D0E96"/>
    <w:rsid w:val="005D1E27"/>
    <w:rsid w:val="005D2A3E"/>
    <w:rsid w:val="005D43EB"/>
    <w:rsid w:val="005E022E"/>
    <w:rsid w:val="005E31B3"/>
    <w:rsid w:val="005E5215"/>
    <w:rsid w:val="005F7F7E"/>
    <w:rsid w:val="00600E77"/>
    <w:rsid w:val="006011D2"/>
    <w:rsid w:val="00606E50"/>
    <w:rsid w:val="00614693"/>
    <w:rsid w:val="00617321"/>
    <w:rsid w:val="00622AC1"/>
    <w:rsid w:val="00623099"/>
    <w:rsid w:val="00623C2F"/>
    <w:rsid w:val="00626B7C"/>
    <w:rsid w:val="00633578"/>
    <w:rsid w:val="00635B39"/>
    <w:rsid w:val="00637068"/>
    <w:rsid w:val="006446E6"/>
    <w:rsid w:val="00650811"/>
    <w:rsid w:val="00652EA4"/>
    <w:rsid w:val="0065332B"/>
    <w:rsid w:val="00660AFD"/>
    <w:rsid w:val="00661D3E"/>
    <w:rsid w:val="00662985"/>
    <w:rsid w:val="006638B7"/>
    <w:rsid w:val="00671A89"/>
    <w:rsid w:val="00676DEE"/>
    <w:rsid w:val="00684CAC"/>
    <w:rsid w:val="0068611B"/>
    <w:rsid w:val="00690598"/>
    <w:rsid w:val="006925F2"/>
    <w:rsid w:val="00692627"/>
    <w:rsid w:val="00694008"/>
    <w:rsid w:val="006969E7"/>
    <w:rsid w:val="006A3643"/>
    <w:rsid w:val="006B5551"/>
    <w:rsid w:val="006C2A29"/>
    <w:rsid w:val="006C64CF"/>
    <w:rsid w:val="006D17B1"/>
    <w:rsid w:val="006D4752"/>
    <w:rsid w:val="006D708A"/>
    <w:rsid w:val="006D7D12"/>
    <w:rsid w:val="006D7DAB"/>
    <w:rsid w:val="006E14C1"/>
    <w:rsid w:val="006E3C70"/>
    <w:rsid w:val="006E6416"/>
    <w:rsid w:val="006F0292"/>
    <w:rsid w:val="006F27FA"/>
    <w:rsid w:val="006F3A4F"/>
    <w:rsid w:val="006F416B"/>
    <w:rsid w:val="006F519B"/>
    <w:rsid w:val="00710E49"/>
    <w:rsid w:val="00712E5C"/>
    <w:rsid w:val="00713675"/>
    <w:rsid w:val="00713DED"/>
    <w:rsid w:val="00715823"/>
    <w:rsid w:val="00726825"/>
    <w:rsid w:val="00727E5C"/>
    <w:rsid w:val="00732400"/>
    <w:rsid w:val="00733201"/>
    <w:rsid w:val="00737B93"/>
    <w:rsid w:val="00740824"/>
    <w:rsid w:val="007421F9"/>
    <w:rsid w:val="00742CFC"/>
    <w:rsid w:val="00745BF0"/>
    <w:rsid w:val="0075021F"/>
    <w:rsid w:val="007615FE"/>
    <w:rsid w:val="00765D46"/>
    <w:rsid w:val="0076655C"/>
    <w:rsid w:val="007742DC"/>
    <w:rsid w:val="007825F6"/>
    <w:rsid w:val="007836DD"/>
    <w:rsid w:val="00791437"/>
    <w:rsid w:val="0079572D"/>
    <w:rsid w:val="007A1522"/>
    <w:rsid w:val="007A2EC3"/>
    <w:rsid w:val="007A6122"/>
    <w:rsid w:val="007B0C2C"/>
    <w:rsid w:val="007B1EC0"/>
    <w:rsid w:val="007B278E"/>
    <w:rsid w:val="007C03C1"/>
    <w:rsid w:val="007C2B9D"/>
    <w:rsid w:val="007C5C23"/>
    <w:rsid w:val="007E2A26"/>
    <w:rsid w:val="007F2348"/>
    <w:rsid w:val="007F4AAE"/>
    <w:rsid w:val="007F555A"/>
    <w:rsid w:val="00803F07"/>
    <w:rsid w:val="00804119"/>
    <w:rsid w:val="00804C50"/>
    <w:rsid w:val="00805923"/>
    <w:rsid w:val="00807306"/>
    <w:rsid w:val="0080749A"/>
    <w:rsid w:val="0081213F"/>
    <w:rsid w:val="00815D9D"/>
    <w:rsid w:val="008163C0"/>
    <w:rsid w:val="008202CB"/>
    <w:rsid w:val="008204E9"/>
    <w:rsid w:val="00821FB8"/>
    <w:rsid w:val="00822ACD"/>
    <w:rsid w:val="008349AE"/>
    <w:rsid w:val="008415F9"/>
    <w:rsid w:val="0084F6DD"/>
    <w:rsid w:val="00855C66"/>
    <w:rsid w:val="00871EE4"/>
    <w:rsid w:val="00874FA8"/>
    <w:rsid w:val="00876787"/>
    <w:rsid w:val="008855E3"/>
    <w:rsid w:val="008A43AA"/>
    <w:rsid w:val="008A7BF0"/>
    <w:rsid w:val="008B293F"/>
    <w:rsid w:val="008B41BF"/>
    <w:rsid w:val="008B4C4B"/>
    <w:rsid w:val="008B7371"/>
    <w:rsid w:val="008C4A4C"/>
    <w:rsid w:val="008D3CBD"/>
    <w:rsid w:val="008D3DDB"/>
    <w:rsid w:val="008F573F"/>
    <w:rsid w:val="008F591C"/>
    <w:rsid w:val="00900912"/>
    <w:rsid w:val="00901383"/>
    <w:rsid w:val="009034EC"/>
    <w:rsid w:val="0090532B"/>
    <w:rsid w:val="0093067A"/>
    <w:rsid w:val="00933F67"/>
    <w:rsid w:val="0093570D"/>
    <w:rsid w:val="00941C60"/>
    <w:rsid w:val="00941FD1"/>
    <w:rsid w:val="00950889"/>
    <w:rsid w:val="0096017B"/>
    <w:rsid w:val="0096133C"/>
    <w:rsid w:val="00963CC3"/>
    <w:rsid w:val="00966D42"/>
    <w:rsid w:val="00971689"/>
    <w:rsid w:val="0097285B"/>
    <w:rsid w:val="0097346F"/>
    <w:rsid w:val="00973E90"/>
    <w:rsid w:val="00975B07"/>
    <w:rsid w:val="009771E6"/>
    <w:rsid w:val="00980B4A"/>
    <w:rsid w:val="00983A28"/>
    <w:rsid w:val="00990E12"/>
    <w:rsid w:val="00991684"/>
    <w:rsid w:val="00991769"/>
    <w:rsid w:val="00994AC3"/>
    <w:rsid w:val="009A3FA0"/>
    <w:rsid w:val="009A4E95"/>
    <w:rsid w:val="009A55A4"/>
    <w:rsid w:val="009B20D9"/>
    <w:rsid w:val="009C1C4B"/>
    <w:rsid w:val="009C71C2"/>
    <w:rsid w:val="009D12D1"/>
    <w:rsid w:val="009E0669"/>
    <w:rsid w:val="009E3D0A"/>
    <w:rsid w:val="009E51FC"/>
    <w:rsid w:val="009F1D28"/>
    <w:rsid w:val="009F4071"/>
    <w:rsid w:val="009F62F3"/>
    <w:rsid w:val="009F7618"/>
    <w:rsid w:val="00A01619"/>
    <w:rsid w:val="00A043A7"/>
    <w:rsid w:val="00A04D23"/>
    <w:rsid w:val="00A06766"/>
    <w:rsid w:val="00A07208"/>
    <w:rsid w:val="00A1027E"/>
    <w:rsid w:val="00A13765"/>
    <w:rsid w:val="00A20270"/>
    <w:rsid w:val="00A21B12"/>
    <w:rsid w:val="00A21BED"/>
    <w:rsid w:val="00A23F80"/>
    <w:rsid w:val="00A368DD"/>
    <w:rsid w:val="00A4626B"/>
    <w:rsid w:val="00A46E98"/>
    <w:rsid w:val="00A53C09"/>
    <w:rsid w:val="00A60DD1"/>
    <w:rsid w:val="00A6352B"/>
    <w:rsid w:val="00A701B5"/>
    <w:rsid w:val="00A714BB"/>
    <w:rsid w:val="00A77147"/>
    <w:rsid w:val="00A7D111"/>
    <w:rsid w:val="00A8260B"/>
    <w:rsid w:val="00A85348"/>
    <w:rsid w:val="00A92D8F"/>
    <w:rsid w:val="00A9341A"/>
    <w:rsid w:val="00A97B3B"/>
    <w:rsid w:val="00AB2988"/>
    <w:rsid w:val="00AB2FE8"/>
    <w:rsid w:val="00AB7999"/>
    <w:rsid w:val="00AC61D7"/>
    <w:rsid w:val="00AD3292"/>
    <w:rsid w:val="00AE5F58"/>
    <w:rsid w:val="00AE7AF0"/>
    <w:rsid w:val="00AE7DF1"/>
    <w:rsid w:val="00AF0FF3"/>
    <w:rsid w:val="00AF5343"/>
    <w:rsid w:val="00AF7729"/>
    <w:rsid w:val="00B01A98"/>
    <w:rsid w:val="00B32439"/>
    <w:rsid w:val="00B32FC3"/>
    <w:rsid w:val="00B333F7"/>
    <w:rsid w:val="00B350E6"/>
    <w:rsid w:val="00B3EE10"/>
    <w:rsid w:val="00B42D94"/>
    <w:rsid w:val="00B45FD7"/>
    <w:rsid w:val="00B500CA"/>
    <w:rsid w:val="00B54386"/>
    <w:rsid w:val="00B54955"/>
    <w:rsid w:val="00B61252"/>
    <w:rsid w:val="00B822F6"/>
    <w:rsid w:val="00B86314"/>
    <w:rsid w:val="00B951C8"/>
    <w:rsid w:val="00B97D03"/>
    <w:rsid w:val="00BA0619"/>
    <w:rsid w:val="00BA1C2E"/>
    <w:rsid w:val="00BA25D2"/>
    <w:rsid w:val="00BB2885"/>
    <w:rsid w:val="00BB50B0"/>
    <w:rsid w:val="00BC200B"/>
    <w:rsid w:val="00BC4756"/>
    <w:rsid w:val="00BC69A4"/>
    <w:rsid w:val="00BD1080"/>
    <w:rsid w:val="00BD2F15"/>
    <w:rsid w:val="00BD48AE"/>
    <w:rsid w:val="00BD6A57"/>
    <w:rsid w:val="00BE0680"/>
    <w:rsid w:val="00BE1868"/>
    <w:rsid w:val="00BE305F"/>
    <w:rsid w:val="00BE6EDB"/>
    <w:rsid w:val="00BE7BA3"/>
    <w:rsid w:val="00BF5682"/>
    <w:rsid w:val="00BF7B09"/>
    <w:rsid w:val="00C01CE6"/>
    <w:rsid w:val="00C13D18"/>
    <w:rsid w:val="00C13DB7"/>
    <w:rsid w:val="00C16157"/>
    <w:rsid w:val="00C20A95"/>
    <w:rsid w:val="00C262EE"/>
    <w:rsid w:val="00C2692F"/>
    <w:rsid w:val="00C302EA"/>
    <w:rsid w:val="00C3207C"/>
    <w:rsid w:val="00C35A48"/>
    <w:rsid w:val="00C3724B"/>
    <w:rsid w:val="00C400E1"/>
    <w:rsid w:val="00C41187"/>
    <w:rsid w:val="00C42219"/>
    <w:rsid w:val="00C4442F"/>
    <w:rsid w:val="00C44BAE"/>
    <w:rsid w:val="00C568C4"/>
    <w:rsid w:val="00C5763C"/>
    <w:rsid w:val="00C63C31"/>
    <w:rsid w:val="00C63DAF"/>
    <w:rsid w:val="00C6687E"/>
    <w:rsid w:val="00C757A0"/>
    <w:rsid w:val="00C760DE"/>
    <w:rsid w:val="00C76258"/>
    <w:rsid w:val="00C81130"/>
    <w:rsid w:val="00C82630"/>
    <w:rsid w:val="00C85B4E"/>
    <w:rsid w:val="00C907F7"/>
    <w:rsid w:val="00CA2103"/>
    <w:rsid w:val="00CB4ABF"/>
    <w:rsid w:val="00CB6B99"/>
    <w:rsid w:val="00CC2C81"/>
    <w:rsid w:val="00CC765F"/>
    <w:rsid w:val="00CE44D7"/>
    <w:rsid w:val="00CE4C87"/>
    <w:rsid w:val="00CE544A"/>
    <w:rsid w:val="00D02E49"/>
    <w:rsid w:val="00D104B9"/>
    <w:rsid w:val="00D1084B"/>
    <w:rsid w:val="00D10A65"/>
    <w:rsid w:val="00D11E1C"/>
    <w:rsid w:val="00D14746"/>
    <w:rsid w:val="00D160B0"/>
    <w:rsid w:val="00D17F94"/>
    <w:rsid w:val="00D223FC"/>
    <w:rsid w:val="00D26D1E"/>
    <w:rsid w:val="00D31078"/>
    <w:rsid w:val="00D474CF"/>
    <w:rsid w:val="00D5378B"/>
    <w:rsid w:val="00D53B0E"/>
    <w:rsid w:val="00D5547E"/>
    <w:rsid w:val="00D55FB1"/>
    <w:rsid w:val="00D57F03"/>
    <w:rsid w:val="00D60809"/>
    <w:rsid w:val="00D6733B"/>
    <w:rsid w:val="00D757D9"/>
    <w:rsid w:val="00D82959"/>
    <w:rsid w:val="00D869A1"/>
    <w:rsid w:val="00D915D9"/>
    <w:rsid w:val="00DA413F"/>
    <w:rsid w:val="00DA4584"/>
    <w:rsid w:val="00DA614B"/>
    <w:rsid w:val="00DB131D"/>
    <w:rsid w:val="00DB1C1A"/>
    <w:rsid w:val="00DB6E03"/>
    <w:rsid w:val="00DC3060"/>
    <w:rsid w:val="00DD494E"/>
    <w:rsid w:val="00DE0FB2"/>
    <w:rsid w:val="00DE2C92"/>
    <w:rsid w:val="00DE5DEA"/>
    <w:rsid w:val="00DE6984"/>
    <w:rsid w:val="00DF093E"/>
    <w:rsid w:val="00DF0EFA"/>
    <w:rsid w:val="00DF7548"/>
    <w:rsid w:val="00E01F42"/>
    <w:rsid w:val="00E031CE"/>
    <w:rsid w:val="00E206D6"/>
    <w:rsid w:val="00E217D5"/>
    <w:rsid w:val="00E23344"/>
    <w:rsid w:val="00E3366E"/>
    <w:rsid w:val="00E373E6"/>
    <w:rsid w:val="00E52086"/>
    <w:rsid w:val="00E543A6"/>
    <w:rsid w:val="00E578D6"/>
    <w:rsid w:val="00E60479"/>
    <w:rsid w:val="00E61D73"/>
    <w:rsid w:val="00E73684"/>
    <w:rsid w:val="00E818D6"/>
    <w:rsid w:val="00E87F7A"/>
    <w:rsid w:val="00E91FE4"/>
    <w:rsid w:val="00E940F8"/>
    <w:rsid w:val="00E96BD7"/>
    <w:rsid w:val="00EA0DB1"/>
    <w:rsid w:val="00EA0EE9"/>
    <w:rsid w:val="00EA4E35"/>
    <w:rsid w:val="00EA6264"/>
    <w:rsid w:val="00ED1560"/>
    <w:rsid w:val="00ED52CA"/>
    <w:rsid w:val="00ED5860"/>
    <w:rsid w:val="00ED61C5"/>
    <w:rsid w:val="00EE35C9"/>
    <w:rsid w:val="00EE61E5"/>
    <w:rsid w:val="00EE6D25"/>
    <w:rsid w:val="00EF3D06"/>
    <w:rsid w:val="00EF5001"/>
    <w:rsid w:val="00F01792"/>
    <w:rsid w:val="00F03C15"/>
    <w:rsid w:val="00F05ECA"/>
    <w:rsid w:val="00F20449"/>
    <w:rsid w:val="00F34C1C"/>
    <w:rsid w:val="00F3566E"/>
    <w:rsid w:val="00F36BC9"/>
    <w:rsid w:val="00F375FB"/>
    <w:rsid w:val="00F41AC1"/>
    <w:rsid w:val="00F4367A"/>
    <w:rsid w:val="00F445B1"/>
    <w:rsid w:val="00F44DF6"/>
    <w:rsid w:val="00F45CD4"/>
    <w:rsid w:val="00F4609E"/>
    <w:rsid w:val="00F56836"/>
    <w:rsid w:val="00F63417"/>
    <w:rsid w:val="00F66DCA"/>
    <w:rsid w:val="00F733B3"/>
    <w:rsid w:val="00F74F53"/>
    <w:rsid w:val="00F7606D"/>
    <w:rsid w:val="00F81670"/>
    <w:rsid w:val="00F82024"/>
    <w:rsid w:val="00F903D6"/>
    <w:rsid w:val="00F9451E"/>
    <w:rsid w:val="00F95BC9"/>
    <w:rsid w:val="00FA40DA"/>
    <w:rsid w:val="00FA624C"/>
    <w:rsid w:val="00FB2606"/>
    <w:rsid w:val="00FB46C4"/>
    <w:rsid w:val="00FD0FAC"/>
    <w:rsid w:val="00FD1DFA"/>
    <w:rsid w:val="00FD3055"/>
    <w:rsid w:val="00FD44CB"/>
    <w:rsid w:val="00FD4966"/>
    <w:rsid w:val="00FD54EE"/>
    <w:rsid w:val="00FD61A7"/>
    <w:rsid w:val="00FD631B"/>
    <w:rsid w:val="00FD6DAD"/>
    <w:rsid w:val="00FE5758"/>
    <w:rsid w:val="00FE57DC"/>
    <w:rsid w:val="00FE7161"/>
    <w:rsid w:val="00FF005B"/>
    <w:rsid w:val="00FF4812"/>
    <w:rsid w:val="0110B12A"/>
    <w:rsid w:val="0117C573"/>
    <w:rsid w:val="01236C84"/>
    <w:rsid w:val="0168D748"/>
    <w:rsid w:val="0182C8AE"/>
    <w:rsid w:val="01DF07C6"/>
    <w:rsid w:val="020E91C1"/>
    <w:rsid w:val="023FC40D"/>
    <w:rsid w:val="027F622B"/>
    <w:rsid w:val="028EAC46"/>
    <w:rsid w:val="02C8DBEC"/>
    <w:rsid w:val="02C95EBF"/>
    <w:rsid w:val="030DC5D1"/>
    <w:rsid w:val="037463D9"/>
    <w:rsid w:val="037CC7CB"/>
    <w:rsid w:val="03AE12AC"/>
    <w:rsid w:val="03CECBD2"/>
    <w:rsid w:val="03D40649"/>
    <w:rsid w:val="03F511DA"/>
    <w:rsid w:val="040ECDCA"/>
    <w:rsid w:val="04112250"/>
    <w:rsid w:val="0418A48D"/>
    <w:rsid w:val="0468ED6D"/>
    <w:rsid w:val="04899053"/>
    <w:rsid w:val="04B11F60"/>
    <w:rsid w:val="04ED7E94"/>
    <w:rsid w:val="052A9ECB"/>
    <w:rsid w:val="052D3765"/>
    <w:rsid w:val="053784CE"/>
    <w:rsid w:val="053AC377"/>
    <w:rsid w:val="057636B1"/>
    <w:rsid w:val="0576CAE5"/>
    <w:rsid w:val="058DBDE3"/>
    <w:rsid w:val="0595E15A"/>
    <w:rsid w:val="05DB6D23"/>
    <w:rsid w:val="05EF95AE"/>
    <w:rsid w:val="05F70360"/>
    <w:rsid w:val="065A9E09"/>
    <w:rsid w:val="0674A745"/>
    <w:rsid w:val="06A2A577"/>
    <w:rsid w:val="06A46882"/>
    <w:rsid w:val="06C54EAC"/>
    <w:rsid w:val="06F73A30"/>
    <w:rsid w:val="072E50ED"/>
    <w:rsid w:val="07346485"/>
    <w:rsid w:val="073B7DA7"/>
    <w:rsid w:val="0787EBBC"/>
    <w:rsid w:val="07B6E487"/>
    <w:rsid w:val="07BE8EFA"/>
    <w:rsid w:val="07EA96DD"/>
    <w:rsid w:val="07F5AE05"/>
    <w:rsid w:val="08032E09"/>
    <w:rsid w:val="08055A1C"/>
    <w:rsid w:val="0812FC78"/>
    <w:rsid w:val="084663E0"/>
    <w:rsid w:val="086F21F2"/>
    <w:rsid w:val="08AF26AA"/>
    <w:rsid w:val="08DB9CBA"/>
    <w:rsid w:val="08EEE9A1"/>
    <w:rsid w:val="08F55127"/>
    <w:rsid w:val="0903919D"/>
    <w:rsid w:val="0941658B"/>
    <w:rsid w:val="09449C83"/>
    <w:rsid w:val="09804227"/>
    <w:rsid w:val="098830E0"/>
    <w:rsid w:val="09E41572"/>
    <w:rsid w:val="09FA31D2"/>
    <w:rsid w:val="0A04D8FD"/>
    <w:rsid w:val="0A416364"/>
    <w:rsid w:val="0A4CEEF8"/>
    <w:rsid w:val="0A8786E5"/>
    <w:rsid w:val="0A9F8B5C"/>
    <w:rsid w:val="0B4549EA"/>
    <w:rsid w:val="0B65C296"/>
    <w:rsid w:val="0B937BDA"/>
    <w:rsid w:val="0BCD32BF"/>
    <w:rsid w:val="0BD152BF"/>
    <w:rsid w:val="0BE92B5E"/>
    <w:rsid w:val="0BEB5BC7"/>
    <w:rsid w:val="0BF21341"/>
    <w:rsid w:val="0C7863A2"/>
    <w:rsid w:val="0CA0F44E"/>
    <w:rsid w:val="0CA59B2D"/>
    <w:rsid w:val="0CF36A3E"/>
    <w:rsid w:val="0D1E56BE"/>
    <w:rsid w:val="0D5D82D0"/>
    <w:rsid w:val="0D5FB939"/>
    <w:rsid w:val="0D84DA72"/>
    <w:rsid w:val="0D8AC3B6"/>
    <w:rsid w:val="0D97B925"/>
    <w:rsid w:val="0DA61295"/>
    <w:rsid w:val="0DAFF679"/>
    <w:rsid w:val="0DB19E0D"/>
    <w:rsid w:val="0DB31C59"/>
    <w:rsid w:val="0E020889"/>
    <w:rsid w:val="0E3AF9E9"/>
    <w:rsid w:val="0E472556"/>
    <w:rsid w:val="0E98AA27"/>
    <w:rsid w:val="0EC07E08"/>
    <w:rsid w:val="0ED81C73"/>
    <w:rsid w:val="0ED8AC94"/>
    <w:rsid w:val="0EFF7D6C"/>
    <w:rsid w:val="0F666F6C"/>
    <w:rsid w:val="0FC0A920"/>
    <w:rsid w:val="0FC22374"/>
    <w:rsid w:val="0FD4C161"/>
    <w:rsid w:val="1009F766"/>
    <w:rsid w:val="100BDD79"/>
    <w:rsid w:val="1012BE39"/>
    <w:rsid w:val="1054AEA5"/>
    <w:rsid w:val="10C78EAA"/>
    <w:rsid w:val="10CB1F01"/>
    <w:rsid w:val="10D7543E"/>
    <w:rsid w:val="10D84C9A"/>
    <w:rsid w:val="10DE0B62"/>
    <w:rsid w:val="10F0EAFE"/>
    <w:rsid w:val="11191E83"/>
    <w:rsid w:val="115CB5CC"/>
    <w:rsid w:val="1182BD39"/>
    <w:rsid w:val="119EE57B"/>
    <w:rsid w:val="11B98BBF"/>
    <w:rsid w:val="11BE0BF0"/>
    <w:rsid w:val="11E3DD87"/>
    <w:rsid w:val="11F9E6A9"/>
    <w:rsid w:val="11FE7157"/>
    <w:rsid w:val="12036BB5"/>
    <w:rsid w:val="1211ED31"/>
    <w:rsid w:val="12582B9E"/>
    <w:rsid w:val="1280C9A7"/>
    <w:rsid w:val="12972A81"/>
    <w:rsid w:val="12B3B058"/>
    <w:rsid w:val="12BDC2FD"/>
    <w:rsid w:val="12D389A2"/>
    <w:rsid w:val="12F863D0"/>
    <w:rsid w:val="1303EF2E"/>
    <w:rsid w:val="131E752F"/>
    <w:rsid w:val="1326E650"/>
    <w:rsid w:val="13410E17"/>
    <w:rsid w:val="135DE42B"/>
    <w:rsid w:val="1363E53A"/>
    <w:rsid w:val="1385FCE5"/>
    <w:rsid w:val="13873BD2"/>
    <w:rsid w:val="13B1A24C"/>
    <w:rsid w:val="13DDDDED"/>
    <w:rsid w:val="1446EAAF"/>
    <w:rsid w:val="144ACD7D"/>
    <w:rsid w:val="144F802E"/>
    <w:rsid w:val="145C3449"/>
    <w:rsid w:val="14A17136"/>
    <w:rsid w:val="14A2840D"/>
    <w:rsid w:val="14B833C4"/>
    <w:rsid w:val="14E8579C"/>
    <w:rsid w:val="14EB0430"/>
    <w:rsid w:val="14F50FF1"/>
    <w:rsid w:val="159FAF37"/>
    <w:rsid w:val="15C6102F"/>
    <w:rsid w:val="162FDAEE"/>
    <w:rsid w:val="16715F1A"/>
    <w:rsid w:val="16B45726"/>
    <w:rsid w:val="16BBF317"/>
    <w:rsid w:val="1715A1D1"/>
    <w:rsid w:val="1738AC0D"/>
    <w:rsid w:val="17782AB9"/>
    <w:rsid w:val="178814B8"/>
    <w:rsid w:val="17B21A9C"/>
    <w:rsid w:val="17E11868"/>
    <w:rsid w:val="17FD4869"/>
    <w:rsid w:val="183E7774"/>
    <w:rsid w:val="186D7BAA"/>
    <w:rsid w:val="188B067F"/>
    <w:rsid w:val="18A7A905"/>
    <w:rsid w:val="18E90ACB"/>
    <w:rsid w:val="1902B000"/>
    <w:rsid w:val="193C266A"/>
    <w:rsid w:val="198ABA35"/>
    <w:rsid w:val="19ACB2E1"/>
    <w:rsid w:val="1A07536A"/>
    <w:rsid w:val="1A1D646D"/>
    <w:rsid w:val="1A26C709"/>
    <w:rsid w:val="1A2BEEDB"/>
    <w:rsid w:val="1A71718C"/>
    <w:rsid w:val="1AA26C79"/>
    <w:rsid w:val="1AAD3B42"/>
    <w:rsid w:val="1AC9FD07"/>
    <w:rsid w:val="1ACDD015"/>
    <w:rsid w:val="1AE2DBDF"/>
    <w:rsid w:val="1AE5410E"/>
    <w:rsid w:val="1AF94C8D"/>
    <w:rsid w:val="1B0F594F"/>
    <w:rsid w:val="1B307433"/>
    <w:rsid w:val="1B4E6375"/>
    <w:rsid w:val="1BE0A56D"/>
    <w:rsid w:val="1BE45BB1"/>
    <w:rsid w:val="1BE9229B"/>
    <w:rsid w:val="1C1047AE"/>
    <w:rsid w:val="1C1137D7"/>
    <w:rsid w:val="1C513EDB"/>
    <w:rsid w:val="1C58C946"/>
    <w:rsid w:val="1C909BF4"/>
    <w:rsid w:val="1C9E8442"/>
    <w:rsid w:val="1CC5393F"/>
    <w:rsid w:val="1CCA9A72"/>
    <w:rsid w:val="1CF437B0"/>
    <w:rsid w:val="1CFB5F9E"/>
    <w:rsid w:val="1D0BCD8F"/>
    <w:rsid w:val="1D12A3CF"/>
    <w:rsid w:val="1D2C9E26"/>
    <w:rsid w:val="1D7A5639"/>
    <w:rsid w:val="1D9D68CC"/>
    <w:rsid w:val="1DD9733B"/>
    <w:rsid w:val="1DDFC37F"/>
    <w:rsid w:val="1E07C9F0"/>
    <w:rsid w:val="1E1370B3"/>
    <w:rsid w:val="1E336905"/>
    <w:rsid w:val="1E67D4B6"/>
    <w:rsid w:val="1E81E333"/>
    <w:rsid w:val="1E96F566"/>
    <w:rsid w:val="1EB30575"/>
    <w:rsid w:val="1EC5F969"/>
    <w:rsid w:val="1ECBF6BF"/>
    <w:rsid w:val="1EF2DDDD"/>
    <w:rsid w:val="1F1CAEA4"/>
    <w:rsid w:val="1F541040"/>
    <w:rsid w:val="1F7C05E8"/>
    <w:rsid w:val="1FC93A07"/>
    <w:rsid w:val="1FDC6853"/>
    <w:rsid w:val="20354161"/>
    <w:rsid w:val="20491C87"/>
    <w:rsid w:val="204B9850"/>
    <w:rsid w:val="20692A73"/>
    <w:rsid w:val="2075D1F2"/>
    <w:rsid w:val="209DC741"/>
    <w:rsid w:val="20B8744C"/>
    <w:rsid w:val="20C4D662"/>
    <w:rsid w:val="20D35675"/>
    <w:rsid w:val="20EDDA0E"/>
    <w:rsid w:val="20F0B537"/>
    <w:rsid w:val="211E2BF7"/>
    <w:rsid w:val="2123E70D"/>
    <w:rsid w:val="2139EDB9"/>
    <w:rsid w:val="2149177E"/>
    <w:rsid w:val="2165A2B0"/>
    <w:rsid w:val="21A23577"/>
    <w:rsid w:val="21A74D44"/>
    <w:rsid w:val="21C1CB3F"/>
    <w:rsid w:val="2223CD98"/>
    <w:rsid w:val="222CCE38"/>
    <w:rsid w:val="225EA6AD"/>
    <w:rsid w:val="226C2886"/>
    <w:rsid w:val="2272762C"/>
    <w:rsid w:val="22782D39"/>
    <w:rsid w:val="22843AD6"/>
    <w:rsid w:val="22C62AD3"/>
    <w:rsid w:val="232B4E1F"/>
    <w:rsid w:val="233D3214"/>
    <w:rsid w:val="23414DB1"/>
    <w:rsid w:val="23836005"/>
    <w:rsid w:val="23898DAB"/>
    <w:rsid w:val="2390057B"/>
    <w:rsid w:val="23D01370"/>
    <w:rsid w:val="23D4EB42"/>
    <w:rsid w:val="23D4F045"/>
    <w:rsid w:val="23DC1E73"/>
    <w:rsid w:val="23EF0FB8"/>
    <w:rsid w:val="23F8E89F"/>
    <w:rsid w:val="2429FC92"/>
    <w:rsid w:val="24316BA0"/>
    <w:rsid w:val="2439025D"/>
    <w:rsid w:val="243C2F16"/>
    <w:rsid w:val="2474FDE0"/>
    <w:rsid w:val="24CB5D56"/>
    <w:rsid w:val="24D685AC"/>
    <w:rsid w:val="25214406"/>
    <w:rsid w:val="2532C0E3"/>
    <w:rsid w:val="2561257A"/>
    <w:rsid w:val="256D777A"/>
    <w:rsid w:val="25A41B1D"/>
    <w:rsid w:val="25D2E37F"/>
    <w:rsid w:val="25D835CE"/>
    <w:rsid w:val="25E075DA"/>
    <w:rsid w:val="25E33D69"/>
    <w:rsid w:val="260B9590"/>
    <w:rsid w:val="2615B1F8"/>
    <w:rsid w:val="261B31F7"/>
    <w:rsid w:val="2628834C"/>
    <w:rsid w:val="26380AFF"/>
    <w:rsid w:val="265E8768"/>
    <w:rsid w:val="26A3D750"/>
    <w:rsid w:val="26C9F1B1"/>
    <w:rsid w:val="27010386"/>
    <w:rsid w:val="2757CA37"/>
    <w:rsid w:val="27A56C88"/>
    <w:rsid w:val="27C14CAD"/>
    <w:rsid w:val="280D3D5A"/>
    <w:rsid w:val="28216B13"/>
    <w:rsid w:val="282BA9DF"/>
    <w:rsid w:val="283CB196"/>
    <w:rsid w:val="285264CA"/>
    <w:rsid w:val="2874E9AD"/>
    <w:rsid w:val="288A565D"/>
    <w:rsid w:val="28ADB168"/>
    <w:rsid w:val="28C8B649"/>
    <w:rsid w:val="28F11B0D"/>
    <w:rsid w:val="290C45A1"/>
    <w:rsid w:val="29477606"/>
    <w:rsid w:val="2954D60F"/>
    <w:rsid w:val="296039E1"/>
    <w:rsid w:val="298BA0DD"/>
    <w:rsid w:val="2991C2E1"/>
    <w:rsid w:val="29974EC9"/>
    <w:rsid w:val="29D00F02"/>
    <w:rsid w:val="29DC6B33"/>
    <w:rsid w:val="2A0C913F"/>
    <w:rsid w:val="2A426A35"/>
    <w:rsid w:val="2A657547"/>
    <w:rsid w:val="2A7F4606"/>
    <w:rsid w:val="2A92DD07"/>
    <w:rsid w:val="2AA36C1E"/>
    <w:rsid w:val="2AB78836"/>
    <w:rsid w:val="2AFA1F31"/>
    <w:rsid w:val="2BCBBED1"/>
    <w:rsid w:val="2BD27867"/>
    <w:rsid w:val="2BD47CF7"/>
    <w:rsid w:val="2BD4DFB8"/>
    <w:rsid w:val="2BDB6240"/>
    <w:rsid w:val="2C1DCAB9"/>
    <w:rsid w:val="2C228319"/>
    <w:rsid w:val="2C6E6166"/>
    <w:rsid w:val="2C864DC5"/>
    <w:rsid w:val="2C895E07"/>
    <w:rsid w:val="2C953235"/>
    <w:rsid w:val="2CC63494"/>
    <w:rsid w:val="2D111DE5"/>
    <w:rsid w:val="2D3DF6F3"/>
    <w:rsid w:val="2D536FD2"/>
    <w:rsid w:val="2D8145CF"/>
    <w:rsid w:val="2D84606A"/>
    <w:rsid w:val="2D8952A5"/>
    <w:rsid w:val="2D8B4DC1"/>
    <w:rsid w:val="2D976776"/>
    <w:rsid w:val="2DBB1383"/>
    <w:rsid w:val="2DEDCE3C"/>
    <w:rsid w:val="2DF3EA55"/>
    <w:rsid w:val="2E2F9651"/>
    <w:rsid w:val="2E4A66E3"/>
    <w:rsid w:val="2E6628AB"/>
    <w:rsid w:val="2E6E1B4E"/>
    <w:rsid w:val="2E6F4CF6"/>
    <w:rsid w:val="2E7BAE21"/>
    <w:rsid w:val="2E7FA0A7"/>
    <w:rsid w:val="2E9A8702"/>
    <w:rsid w:val="2EBBDDF7"/>
    <w:rsid w:val="2EE3C350"/>
    <w:rsid w:val="2F55B2A4"/>
    <w:rsid w:val="2F58D1EA"/>
    <w:rsid w:val="2F771798"/>
    <w:rsid w:val="2F78A52D"/>
    <w:rsid w:val="2FA5218D"/>
    <w:rsid w:val="2FE846E9"/>
    <w:rsid w:val="2FF135EC"/>
    <w:rsid w:val="2FF70647"/>
    <w:rsid w:val="30353EA0"/>
    <w:rsid w:val="303FE03B"/>
    <w:rsid w:val="306B8A70"/>
    <w:rsid w:val="309B1D54"/>
    <w:rsid w:val="30C27B70"/>
    <w:rsid w:val="30C9755B"/>
    <w:rsid w:val="30D37628"/>
    <w:rsid w:val="30EE68DF"/>
    <w:rsid w:val="310BF500"/>
    <w:rsid w:val="314C6485"/>
    <w:rsid w:val="318E6F57"/>
    <w:rsid w:val="31AF4BB0"/>
    <w:rsid w:val="31CED2AF"/>
    <w:rsid w:val="31DE8929"/>
    <w:rsid w:val="3202FEC1"/>
    <w:rsid w:val="3203C13E"/>
    <w:rsid w:val="32251919"/>
    <w:rsid w:val="32424C56"/>
    <w:rsid w:val="3283AC6F"/>
    <w:rsid w:val="328DB5E6"/>
    <w:rsid w:val="3295AD26"/>
    <w:rsid w:val="32A9850C"/>
    <w:rsid w:val="32C7D61D"/>
    <w:rsid w:val="32D73F2B"/>
    <w:rsid w:val="32E7DEBE"/>
    <w:rsid w:val="32EA63C0"/>
    <w:rsid w:val="32FC2BD7"/>
    <w:rsid w:val="32FD938C"/>
    <w:rsid w:val="33301941"/>
    <w:rsid w:val="333E5FF6"/>
    <w:rsid w:val="334623C6"/>
    <w:rsid w:val="3371F87B"/>
    <w:rsid w:val="341033B4"/>
    <w:rsid w:val="341438AF"/>
    <w:rsid w:val="343D62F4"/>
    <w:rsid w:val="3446CE1C"/>
    <w:rsid w:val="346830B6"/>
    <w:rsid w:val="346F7D3A"/>
    <w:rsid w:val="34841074"/>
    <w:rsid w:val="3486069F"/>
    <w:rsid w:val="3499B78C"/>
    <w:rsid w:val="34A2E81C"/>
    <w:rsid w:val="34CED0CE"/>
    <w:rsid w:val="350322BE"/>
    <w:rsid w:val="354C6D6D"/>
    <w:rsid w:val="358AAE1D"/>
    <w:rsid w:val="35A35AE0"/>
    <w:rsid w:val="35A71CBD"/>
    <w:rsid w:val="35CCAB71"/>
    <w:rsid w:val="35EB0CD3"/>
    <w:rsid w:val="3602DD96"/>
    <w:rsid w:val="361F100A"/>
    <w:rsid w:val="3651B095"/>
    <w:rsid w:val="36589C04"/>
    <w:rsid w:val="36A01F52"/>
    <w:rsid w:val="36C524EA"/>
    <w:rsid w:val="36C8C5C1"/>
    <w:rsid w:val="36E15FF6"/>
    <w:rsid w:val="37249607"/>
    <w:rsid w:val="3728C56B"/>
    <w:rsid w:val="37480141"/>
    <w:rsid w:val="377F6EB3"/>
    <w:rsid w:val="37FA232C"/>
    <w:rsid w:val="381BA892"/>
    <w:rsid w:val="382C281C"/>
    <w:rsid w:val="383AD42D"/>
    <w:rsid w:val="3850F37F"/>
    <w:rsid w:val="3852539A"/>
    <w:rsid w:val="385FD7A8"/>
    <w:rsid w:val="389BD43F"/>
    <w:rsid w:val="3913B5E7"/>
    <w:rsid w:val="3914B9EE"/>
    <w:rsid w:val="3943C5ED"/>
    <w:rsid w:val="394F2A63"/>
    <w:rsid w:val="395089AA"/>
    <w:rsid w:val="3951EC83"/>
    <w:rsid w:val="3959FB45"/>
    <w:rsid w:val="39CFC49C"/>
    <w:rsid w:val="39FE7E5A"/>
    <w:rsid w:val="3A456CD6"/>
    <w:rsid w:val="3A5A0552"/>
    <w:rsid w:val="3A7B26B7"/>
    <w:rsid w:val="3A86E3F1"/>
    <w:rsid w:val="3A8DCD02"/>
    <w:rsid w:val="3A952B7A"/>
    <w:rsid w:val="3A98B0EB"/>
    <w:rsid w:val="3ABE2D26"/>
    <w:rsid w:val="3AD70297"/>
    <w:rsid w:val="3B260FA6"/>
    <w:rsid w:val="3B4D4635"/>
    <w:rsid w:val="3B55D3F6"/>
    <w:rsid w:val="3B593657"/>
    <w:rsid w:val="3B594BBC"/>
    <w:rsid w:val="3B835AE2"/>
    <w:rsid w:val="3B9E1A27"/>
    <w:rsid w:val="3BE8FFE0"/>
    <w:rsid w:val="3BFB6FF4"/>
    <w:rsid w:val="3C038EA8"/>
    <w:rsid w:val="3C2EB335"/>
    <w:rsid w:val="3C345495"/>
    <w:rsid w:val="3C67D8C4"/>
    <w:rsid w:val="3CC534BB"/>
    <w:rsid w:val="3CD5C480"/>
    <w:rsid w:val="3CDB72F3"/>
    <w:rsid w:val="3CFF2ED6"/>
    <w:rsid w:val="3D57FDAF"/>
    <w:rsid w:val="3D6B764C"/>
    <w:rsid w:val="3D7C8B77"/>
    <w:rsid w:val="3DC164A5"/>
    <w:rsid w:val="3DF3BF8A"/>
    <w:rsid w:val="3DFCDBC0"/>
    <w:rsid w:val="3E21CD7F"/>
    <w:rsid w:val="3E24854A"/>
    <w:rsid w:val="3E27F975"/>
    <w:rsid w:val="3E2A03F0"/>
    <w:rsid w:val="3E31A684"/>
    <w:rsid w:val="3E373B3C"/>
    <w:rsid w:val="3E7CEE44"/>
    <w:rsid w:val="3E88FEE7"/>
    <w:rsid w:val="3E98E51C"/>
    <w:rsid w:val="3ED7A34F"/>
    <w:rsid w:val="3EDC6A23"/>
    <w:rsid w:val="3EEDE51B"/>
    <w:rsid w:val="3EFCA96B"/>
    <w:rsid w:val="3F213F52"/>
    <w:rsid w:val="3F44D995"/>
    <w:rsid w:val="3F552926"/>
    <w:rsid w:val="3F6BE1F7"/>
    <w:rsid w:val="3F7DF1B9"/>
    <w:rsid w:val="3F954C2B"/>
    <w:rsid w:val="3F9D253E"/>
    <w:rsid w:val="3FA40CED"/>
    <w:rsid w:val="3FE75677"/>
    <w:rsid w:val="4037DEFF"/>
    <w:rsid w:val="405D53F1"/>
    <w:rsid w:val="407F5303"/>
    <w:rsid w:val="40BD1058"/>
    <w:rsid w:val="40D5DA0C"/>
    <w:rsid w:val="40E89E97"/>
    <w:rsid w:val="40F50020"/>
    <w:rsid w:val="410E5E9A"/>
    <w:rsid w:val="4125B776"/>
    <w:rsid w:val="413E720A"/>
    <w:rsid w:val="4160395C"/>
    <w:rsid w:val="4171D8CA"/>
    <w:rsid w:val="418636C8"/>
    <w:rsid w:val="41E42D3E"/>
    <w:rsid w:val="4200A12F"/>
    <w:rsid w:val="4201F169"/>
    <w:rsid w:val="42330291"/>
    <w:rsid w:val="427FC9F2"/>
    <w:rsid w:val="42805064"/>
    <w:rsid w:val="42924315"/>
    <w:rsid w:val="4303A37B"/>
    <w:rsid w:val="4308FCFB"/>
    <w:rsid w:val="43161B58"/>
    <w:rsid w:val="432119B7"/>
    <w:rsid w:val="4331BAEA"/>
    <w:rsid w:val="434AD480"/>
    <w:rsid w:val="43505BEE"/>
    <w:rsid w:val="4359CFE3"/>
    <w:rsid w:val="435E17FC"/>
    <w:rsid w:val="4369EEB6"/>
    <w:rsid w:val="438B8CBF"/>
    <w:rsid w:val="43CA0D88"/>
    <w:rsid w:val="43CD8894"/>
    <w:rsid w:val="4480FE28"/>
    <w:rsid w:val="44E0A874"/>
    <w:rsid w:val="44E9BEDD"/>
    <w:rsid w:val="44EB0B83"/>
    <w:rsid w:val="44F91C10"/>
    <w:rsid w:val="44FBC0C7"/>
    <w:rsid w:val="451E6D3A"/>
    <w:rsid w:val="4532D236"/>
    <w:rsid w:val="45D8352E"/>
    <w:rsid w:val="45E4A42F"/>
    <w:rsid w:val="46007019"/>
    <w:rsid w:val="4607C4CB"/>
    <w:rsid w:val="462477EC"/>
    <w:rsid w:val="4639D7C0"/>
    <w:rsid w:val="4687056A"/>
    <w:rsid w:val="46A06710"/>
    <w:rsid w:val="46A23F9F"/>
    <w:rsid w:val="46B17CB6"/>
    <w:rsid w:val="46B8EBA7"/>
    <w:rsid w:val="46FA1C5B"/>
    <w:rsid w:val="47062691"/>
    <w:rsid w:val="470A467C"/>
    <w:rsid w:val="47312971"/>
    <w:rsid w:val="4778022E"/>
    <w:rsid w:val="4779673B"/>
    <w:rsid w:val="47882380"/>
    <w:rsid w:val="47B475DD"/>
    <w:rsid w:val="47E2CB71"/>
    <w:rsid w:val="47E3C2BC"/>
    <w:rsid w:val="47E8F34E"/>
    <w:rsid w:val="47FAFB08"/>
    <w:rsid w:val="48015C40"/>
    <w:rsid w:val="480C997F"/>
    <w:rsid w:val="4819C3C8"/>
    <w:rsid w:val="484FA37A"/>
    <w:rsid w:val="485F663D"/>
    <w:rsid w:val="487548A3"/>
    <w:rsid w:val="48CA79C6"/>
    <w:rsid w:val="48E88813"/>
    <w:rsid w:val="49028EDE"/>
    <w:rsid w:val="49150E72"/>
    <w:rsid w:val="492E6D85"/>
    <w:rsid w:val="49789968"/>
    <w:rsid w:val="49CA3C8F"/>
    <w:rsid w:val="49F23496"/>
    <w:rsid w:val="4A35EC64"/>
    <w:rsid w:val="4A50AFA8"/>
    <w:rsid w:val="4A6BAFE6"/>
    <w:rsid w:val="4A7DCE26"/>
    <w:rsid w:val="4A7E11C5"/>
    <w:rsid w:val="4AA12617"/>
    <w:rsid w:val="4AAACE60"/>
    <w:rsid w:val="4AB050CC"/>
    <w:rsid w:val="4ABE3523"/>
    <w:rsid w:val="4AC53F58"/>
    <w:rsid w:val="4AC8F8F0"/>
    <w:rsid w:val="4AD72EB5"/>
    <w:rsid w:val="4AE0F9B6"/>
    <w:rsid w:val="4AEA7BF3"/>
    <w:rsid w:val="4AEE8F0E"/>
    <w:rsid w:val="4B47C925"/>
    <w:rsid w:val="4B6B2BDF"/>
    <w:rsid w:val="4B8B5A90"/>
    <w:rsid w:val="4BB2C3EE"/>
    <w:rsid w:val="4BDA0B4A"/>
    <w:rsid w:val="4BF39B6B"/>
    <w:rsid w:val="4C231F47"/>
    <w:rsid w:val="4C30770F"/>
    <w:rsid w:val="4C98324A"/>
    <w:rsid w:val="4CF527F2"/>
    <w:rsid w:val="4D4FEB4C"/>
    <w:rsid w:val="4D79DE6D"/>
    <w:rsid w:val="4D8773A9"/>
    <w:rsid w:val="4D90F8C4"/>
    <w:rsid w:val="4D9FEBBA"/>
    <w:rsid w:val="4DD1C1AE"/>
    <w:rsid w:val="4E36EAD1"/>
    <w:rsid w:val="4E6704FC"/>
    <w:rsid w:val="4EDE4234"/>
    <w:rsid w:val="4EE07243"/>
    <w:rsid w:val="4F0A2EA4"/>
    <w:rsid w:val="4F3B9B4C"/>
    <w:rsid w:val="4F448EE9"/>
    <w:rsid w:val="4F704722"/>
    <w:rsid w:val="4F7D5DD7"/>
    <w:rsid w:val="4F7EF604"/>
    <w:rsid w:val="4FB5167A"/>
    <w:rsid w:val="500A5D9F"/>
    <w:rsid w:val="5011F8FD"/>
    <w:rsid w:val="504B19F8"/>
    <w:rsid w:val="505B1F5D"/>
    <w:rsid w:val="507466B9"/>
    <w:rsid w:val="50A64608"/>
    <w:rsid w:val="50B80ED9"/>
    <w:rsid w:val="50C6BBBC"/>
    <w:rsid w:val="50DC6440"/>
    <w:rsid w:val="51085038"/>
    <w:rsid w:val="514C704E"/>
    <w:rsid w:val="51537997"/>
    <w:rsid w:val="51546976"/>
    <w:rsid w:val="5180A14C"/>
    <w:rsid w:val="51900AD6"/>
    <w:rsid w:val="51AF7344"/>
    <w:rsid w:val="51D33949"/>
    <w:rsid w:val="51EB068C"/>
    <w:rsid w:val="51EFCC80"/>
    <w:rsid w:val="52670574"/>
    <w:rsid w:val="5296A39B"/>
    <w:rsid w:val="531CFCB4"/>
    <w:rsid w:val="53468E4D"/>
    <w:rsid w:val="535AE71A"/>
    <w:rsid w:val="537C3178"/>
    <w:rsid w:val="538098F4"/>
    <w:rsid w:val="53DDE0D9"/>
    <w:rsid w:val="54035B76"/>
    <w:rsid w:val="542DDCD9"/>
    <w:rsid w:val="5431BC35"/>
    <w:rsid w:val="543C677C"/>
    <w:rsid w:val="54679A8D"/>
    <w:rsid w:val="54A3C722"/>
    <w:rsid w:val="54B84AE2"/>
    <w:rsid w:val="54C9937C"/>
    <w:rsid w:val="54D59B56"/>
    <w:rsid w:val="54DB6672"/>
    <w:rsid w:val="551227D5"/>
    <w:rsid w:val="5523E89E"/>
    <w:rsid w:val="552473CC"/>
    <w:rsid w:val="553C4330"/>
    <w:rsid w:val="556D3381"/>
    <w:rsid w:val="5589AC4A"/>
    <w:rsid w:val="55989744"/>
    <w:rsid w:val="55B60AE7"/>
    <w:rsid w:val="55D08986"/>
    <w:rsid w:val="55F3F83E"/>
    <w:rsid w:val="5639D76F"/>
    <w:rsid w:val="5644257C"/>
    <w:rsid w:val="564D377C"/>
    <w:rsid w:val="56751A7A"/>
    <w:rsid w:val="56858CA2"/>
    <w:rsid w:val="56F8C490"/>
    <w:rsid w:val="572AC3F8"/>
    <w:rsid w:val="572CEA47"/>
    <w:rsid w:val="57665BFE"/>
    <w:rsid w:val="5791ACB0"/>
    <w:rsid w:val="5796F3B4"/>
    <w:rsid w:val="57984AE0"/>
    <w:rsid w:val="57A3E6FE"/>
    <w:rsid w:val="57DE477C"/>
    <w:rsid w:val="57E98FFF"/>
    <w:rsid w:val="57F47EFF"/>
    <w:rsid w:val="5894A640"/>
    <w:rsid w:val="589E3F75"/>
    <w:rsid w:val="58AC32B6"/>
    <w:rsid w:val="58AE5BDA"/>
    <w:rsid w:val="58D8A442"/>
    <w:rsid w:val="59054901"/>
    <w:rsid w:val="590574A7"/>
    <w:rsid w:val="59175D62"/>
    <w:rsid w:val="59349BC0"/>
    <w:rsid w:val="594DB9E6"/>
    <w:rsid w:val="59617863"/>
    <w:rsid w:val="5A23BAE0"/>
    <w:rsid w:val="5A2CB6D9"/>
    <w:rsid w:val="5A698E58"/>
    <w:rsid w:val="5A75CE92"/>
    <w:rsid w:val="5AC62854"/>
    <w:rsid w:val="5ADA8B36"/>
    <w:rsid w:val="5B30EE19"/>
    <w:rsid w:val="5B4A6A24"/>
    <w:rsid w:val="5B532340"/>
    <w:rsid w:val="5B56E0B2"/>
    <w:rsid w:val="5B68E4A1"/>
    <w:rsid w:val="5BAA048D"/>
    <w:rsid w:val="5BACB547"/>
    <w:rsid w:val="5BB80C63"/>
    <w:rsid w:val="5C4DEE0F"/>
    <w:rsid w:val="5CF9D33B"/>
    <w:rsid w:val="5D1921DC"/>
    <w:rsid w:val="5D51FF2C"/>
    <w:rsid w:val="5D95E3D1"/>
    <w:rsid w:val="5DA8346A"/>
    <w:rsid w:val="5DE4E453"/>
    <w:rsid w:val="5DEF3AEA"/>
    <w:rsid w:val="5DF0A5BD"/>
    <w:rsid w:val="5E0971FD"/>
    <w:rsid w:val="5E10AA4E"/>
    <w:rsid w:val="5E1132C2"/>
    <w:rsid w:val="5E3E3126"/>
    <w:rsid w:val="5E4B9AD0"/>
    <w:rsid w:val="5E6C41C7"/>
    <w:rsid w:val="5E7766F9"/>
    <w:rsid w:val="5E8471B9"/>
    <w:rsid w:val="5E8D6643"/>
    <w:rsid w:val="5EDDE22D"/>
    <w:rsid w:val="5EF33D8A"/>
    <w:rsid w:val="5F10986B"/>
    <w:rsid w:val="5F2EA5BE"/>
    <w:rsid w:val="5F3CC0CB"/>
    <w:rsid w:val="5F402E15"/>
    <w:rsid w:val="5F6F1A07"/>
    <w:rsid w:val="5F9448FF"/>
    <w:rsid w:val="5FA85E72"/>
    <w:rsid w:val="5FC07339"/>
    <w:rsid w:val="5FF705E7"/>
    <w:rsid w:val="5FFCB761"/>
    <w:rsid w:val="600E8407"/>
    <w:rsid w:val="6016EC7B"/>
    <w:rsid w:val="60294E29"/>
    <w:rsid w:val="603B02E6"/>
    <w:rsid w:val="60B112A2"/>
    <w:rsid w:val="60D92860"/>
    <w:rsid w:val="6105FC1A"/>
    <w:rsid w:val="610B6322"/>
    <w:rsid w:val="611502A4"/>
    <w:rsid w:val="614A89B5"/>
    <w:rsid w:val="6157DC84"/>
    <w:rsid w:val="617E6653"/>
    <w:rsid w:val="62361644"/>
    <w:rsid w:val="62AB4221"/>
    <w:rsid w:val="62BA018B"/>
    <w:rsid w:val="62DC188B"/>
    <w:rsid w:val="6312969E"/>
    <w:rsid w:val="633F82D8"/>
    <w:rsid w:val="635FAC71"/>
    <w:rsid w:val="63601436"/>
    <w:rsid w:val="63F7BBD1"/>
    <w:rsid w:val="64005955"/>
    <w:rsid w:val="64039E18"/>
    <w:rsid w:val="640D76A2"/>
    <w:rsid w:val="6427CB1D"/>
    <w:rsid w:val="645CD898"/>
    <w:rsid w:val="646D56E2"/>
    <w:rsid w:val="649B04A4"/>
    <w:rsid w:val="64A886C4"/>
    <w:rsid w:val="64B3442C"/>
    <w:rsid w:val="64E05AC8"/>
    <w:rsid w:val="64E4DBDD"/>
    <w:rsid w:val="64EE22FD"/>
    <w:rsid w:val="6506A95E"/>
    <w:rsid w:val="652D2118"/>
    <w:rsid w:val="65462E0F"/>
    <w:rsid w:val="65576384"/>
    <w:rsid w:val="65790BB6"/>
    <w:rsid w:val="657FD35A"/>
    <w:rsid w:val="65B5EA45"/>
    <w:rsid w:val="661A1CFE"/>
    <w:rsid w:val="662167DB"/>
    <w:rsid w:val="6633D7FB"/>
    <w:rsid w:val="6640E56E"/>
    <w:rsid w:val="666B5953"/>
    <w:rsid w:val="667F23F4"/>
    <w:rsid w:val="66DBC581"/>
    <w:rsid w:val="66F373F2"/>
    <w:rsid w:val="6722D36F"/>
    <w:rsid w:val="6761978B"/>
    <w:rsid w:val="676672B9"/>
    <w:rsid w:val="678B7178"/>
    <w:rsid w:val="67B9D8B7"/>
    <w:rsid w:val="67BB1269"/>
    <w:rsid w:val="67D8FF35"/>
    <w:rsid w:val="67F6FEE8"/>
    <w:rsid w:val="680913BE"/>
    <w:rsid w:val="680AAE5D"/>
    <w:rsid w:val="680E9619"/>
    <w:rsid w:val="68625A1B"/>
    <w:rsid w:val="68879357"/>
    <w:rsid w:val="68A2133F"/>
    <w:rsid w:val="68B721FF"/>
    <w:rsid w:val="68C9A591"/>
    <w:rsid w:val="68E943CC"/>
    <w:rsid w:val="6904F416"/>
    <w:rsid w:val="6935BE02"/>
    <w:rsid w:val="69406777"/>
    <w:rsid w:val="69855A54"/>
    <w:rsid w:val="69A2841B"/>
    <w:rsid w:val="69AAAD30"/>
    <w:rsid w:val="69D406C5"/>
    <w:rsid w:val="6A249B0C"/>
    <w:rsid w:val="6A413F86"/>
    <w:rsid w:val="6A516045"/>
    <w:rsid w:val="6AA459F4"/>
    <w:rsid w:val="6AC4FF95"/>
    <w:rsid w:val="6ADB530E"/>
    <w:rsid w:val="6AF2B888"/>
    <w:rsid w:val="6AF6EDC3"/>
    <w:rsid w:val="6B0492A7"/>
    <w:rsid w:val="6B12D4F5"/>
    <w:rsid w:val="6B2DD437"/>
    <w:rsid w:val="6B40C6AF"/>
    <w:rsid w:val="6B4D2BC3"/>
    <w:rsid w:val="6B4D4374"/>
    <w:rsid w:val="6B6772D9"/>
    <w:rsid w:val="6B8C2E12"/>
    <w:rsid w:val="6B8C8E02"/>
    <w:rsid w:val="6BD497B3"/>
    <w:rsid w:val="6BF1A35F"/>
    <w:rsid w:val="6C37AD20"/>
    <w:rsid w:val="6C413893"/>
    <w:rsid w:val="6C64B159"/>
    <w:rsid w:val="6C72FB5E"/>
    <w:rsid w:val="6CDD8447"/>
    <w:rsid w:val="6CE05BB1"/>
    <w:rsid w:val="6D7DA4CC"/>
    <w:rsid w:val="6DBC5875"/>
    <w:rsid w:val="6DEF4177"/>
    <w:rsid w:val="6DF01804"/>
    <w:rsid w:val="6DFDFCE3"/>
    <w:rsid w:val="6E01E534"/>
    <w:rsid w:val="6E35212B"/>
    <w:rsid w:val="6E40C857"/>
    <w:rsid w:val="6E6944DC"/>
    <w:rsid w:val="6E7548E0"/>
    <w:rsid w:val="6E870FC0"/>
    <w:rsid w:val="6EC42A75"/>
    <w:rsid w:val="6ED3F3BC"/>
    <w:rsid w:val="6EEC4122"/>
    <w:rsid w:val="6F2CC9FA"/>
    <w:rsid w:val="6F4605C0"/>
    <w:rsid w:val="6FA5A6AA"/>
    <w:rsid w:val="6FBE632C"/>
    <w:rsid w:val="6FC7E026"/>
    <w:rsid w:val="6FD75B83"/>
    <w:rsid w:val="6FD8E61E"/>
    <w:rsid w:val="6FE1552B"/>
    <w:rsid w:val="6FF07710"/>
    <w:rsid w:val="6FF3FAF4"/>
    <w:rsid w:val="704C936E"/>
    <w:rsid w:val="70A675AE"/>
    <w:rsid w:val="70B5CC98"/>
    <w:rsid w:val="70D23D85"/>
    <w:rsid w:val="70E3F062"/>
    <w:rsid w:val="711BDCDC"/>
    <w:rsid w:val="7153BAEA"/>
    <w:rsid w:val="7178AA1D"/>
    <w:rsid w:val="71BE31E0"/>
    <w:rsid w:val="71E9C09D"/>
    <w:rsid w:val="71EBB285"/>
    <w:rsid w:val="71F594C0"/>
    <w:rsid w:val="72171E19"/>
    <w:rsid w:val="723BA64D"/>
    <w:rsid w:val="724E7EA4"/>
    <w:rsid w:val="725756A1"/>
    <w:rsid w:val="725B2315"/>
    <w:rsid w:val="725F614C"/>
    <w:rsid w:val="7277189A"/>
    <w:rsid w:val="727CD364"/>
    <w:rsid w:val="72853839"/>
    <w:rsid w:val="729DE642"/>
    <w:rsid w:val="72D89370"/>
    <w:rsid w:val="7319E300"/>
    <w:rsid w:val="7367541A"/>
    <w:rsid w:val="736F14E9"/>
    <w:rsid w:val="73BA767C"/>
    <w:rsid w:val="73D82747"/>
    <w:rsid w:val="74169525"/>
    <w:rsid w:val="7441D085"/>
    <w:rsid w:val="744EA182"/>
    <w:rsid w:val="74828A83"/>
    <w:rsid w:val="748D5FA9"/>
    <w:rsid w:val="74C51265"/>
    <w:rsid w:val="74F92AC0"/>
    <w:rsid w:val="75027E9A"/>
    <w:rsid w:val="7532C1DC"/>
    <w:rsid w:val="753B419C"/>
    <w:rsid w:val="754251E3"/>
    <w:rsid w:val="757095F7"/>
    <w:rsid w:val="7577D55D"/>
    <w:rsid w:val="75BDDC7C"/>
    <w:rsid w:val="75CB6017"/>
    <w:rsid w:val="75FDD2A4"/>
    <w:rsid w:val="7639C3F1"/>
    <w:rsid w:val="764A0CC0"/>
    <w:rsid w:val="764F60D6"/>
    <w:rsid w:val="767C838B"/>
    <w:rsid w:val="76B76869"/>
    <w:rsid w:val="76EA5C14"/>
    <w:rsid w:val="77191911"/>
    <w:rsid w:val="7758310F"/>
    <w:rsid w:val="77A68B5E"/>
    <w:rsid w:val="77C3FA0E"/>
    <w:rsid w:val="7816D4CD"/>
    <w:rsid w:val="781F2F4D"/>
    <w:rsid w:val="782E38AC"/>
    <w:rsid w:val="7899A6F1"/>
    <w:rsid w:val="79547AD2"/>
    <w:rsid w:val="79741818"/>
    <w:rsid w:val="79C266A9"/>
    <w:rsid w:val="79CFB3A4"/>
    <w:rsid w:val="79EAF181"/>
    <w:rsid w:val="79F2E5FF"/>
    <w:rsid w:val="79FEA852"/>
    <w:rsid w:val="7A5D8467"/>
    <w:rsid w:val="7A783626"/>
    <w:rsid w:val="7A9C83B8"/>
    <w:rsid w:val="7AD04124"/>
    <w:rsid w:val="7AF35234"/>
    <w:rsid w:val="7B078A9B"/>
    <w:rsid w:val="7B0FAAB9"/>
    <w:rsid w:val="7B1B7C2D"/>
    <w:rsid w:val="7B268DDD"/>
    <w:rsid w:val="7B7A6DDB"/>
    <w:rsid w:val="7B964E71"/>
    <w:rsid w:val="7BBD9998"/>
    <w:rsid w:val="7C2F7050"/>
    <w:rsid w:val="7CB4916C"/>
    <w:rsid w:val="7CD2E2FC"/>
    <w:rsid w:val="7D3EF54A"/>
    <w:rsid w:val="7D47B5D0"/>
    <w:rsid w:val="7D5A8399"/>
    <w:rsid w:val="7D5C8717"/>
    <w:rsid w:val="7D6C3FC0"/>
    <w:rsid w:val="7D723C42"/>
    <w:rsid w:val="7D75D52C"/>
    <w:rsid w:val="7DA05750"/>
    <w:rsid w:val="7DBB6287"/>
    <w:rsid w:val="7DC8C966"/>
    <w:rsid w:val="7DD02707"/>
    <w:rsid w:val="7DED8951"/>
    <w:rsid w:val="7E0A6288"/>
    <w:rsid w:val="7E4283B1"/>
    <w:rsid w:val="7E571A3D"/>
    <w:rsid w:val="7E584674"/>
    <w:rsid w:val="7EB1DD87"/>
    <w:rsid w:val="7EC6306B"/>
    <w:rsid w:val="7EE1589E"/>
    <w:rsid w:val="7EF155EE"/>
    <w:rsid w:val="7F015923"/>
    <w:rsid w:val="7F283BDD"/>
    <w:rsid w:val="7F3D2E79"/>
    <w:rsid w:val="7F42E766"/>
    <w:rsid w:val="7F585CB1"/>
    <w:rsid w:val="7F913857"/>
    <w:rsid w:val="7FB4B64E"/>
    <w:rsid w:val="7FC1E817"/>
    <w:rsid w:val="7FCAA0C9"/>
    <w:rsid w:val="7FD0B0B1"/>
    <w:rsid w:val="7FE43911"/>
    <w:rsid w:val="7FF0A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E61C9"/>
  <w15:docId w15:val="{2320A5A7-5ED1-4142-9F5A-8789392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319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24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22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21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23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31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A7D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19/05/relationships/documenttasks" Target="documenttasks/documenttasks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C2C698-9E85-4B97-A883-6852AFD89F5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66B1447-651F-4972-8C4C-32B96672A0AF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Demand Notice</a:t>
          </a:r>
        </a:p>
      </dgm:t>
    </dgm:pt>
    <dgm:pt modelId="{39EC5E79-2AA6-419A-A360-0BA324263A93}" type="parTrans" cxnId="{D280F837-D1CC-45A1-805B-BAAE500EE75A}">
      <dgm:prSet/>
      <dgm:spPr/>
      <dgm:t>
        <a:bodyPr/>
        <a:lstStyle/>
        <a:p>
          <a:endParaRPr lang="en-GB"/>
        </a:p>
      </dgm:t>
    </dgm:pt>
    <dgm:pt modelId="{2ADAED7A-13DD-4A29-9CD9-1091CC097A80}" type="sibTrans" cxnId="{D280F837-D1CC-45A1-805B-BAAE500EE75A}">
      <dgm:prSet/>
      <dgm:spPr/>
      <dgm:t>
        <a:bodyPr/>
        <a:lstStyle/>
        <a:p>
          <a:endParaRPr lang="en-GB"/>
        </a:p>
      </dgm:t>
    </dgm:pt>
    <dgm:pt modelId="{1159224D-45E9-4C4E-9945-A15429B27424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Sent to the building or the company address (as per Companies House or the Ratepayer requirements)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3C4A18-8260-4347-8179-E631CDB09675}" type="parTrans" cxnId="{3D644F5E-53D4-4298-A09A-3DBE4EB871AE}">
      <dgm:prSet/>
      <dgm:spPr/>
      <dgm:t>
        <a:bodyPr/>
        <a:lstStyle/>
        <a:p>
          <a:endParaRPr lang="en-GB"/>
        </a:p>
      </dgm:t>
    </dgm:pt>
    <dgm:pt modelId="{C34DAA51-6338-4DF4-8C13-DCB920D55F5C}" type="sibTrans" cxnId="{3D644F5E-53D4-4298-A09A-3DBE4EB871AE}">
      <dgm:prSet/>
      <dgm:spPr/>
      <dgm:t>
        <a:bodyPr/>
        <a:lstStyle/>
        <a:p>
          <a:endParaRPr lang="en-GB"/>
        </a:p>
      </dgm:t>
    </dgm:pt>
    <dgm:pt modelId="{7086C6F8-2DC4-41D9-8ED4-13527B5A8DD3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Reminder and Final Notice</a:t>
          </a:r>
        </a:p>
      </dgm:t>
    </dgm:pt>
    <dgm:pt modelId="{A26C4F6C-76AD-4004-B73A-AFDD086C88D6}" type="parTrans" cxnId="{8A6BCFCB-6FD1-4958-A0DA-1EC39B567D50}">
      <dgm:prSet/>
      <dgm:spPr/>
      <dgm:t>
        <a:bodyPr/>
        <a:lstStyle/>
        <a:p>
          <a:endParaRPr lang="en-GB"/>
        </a:p>
      </dgm:t>
    </dgm:pt>
    <dgm:pt modelId="{72ADE495-2826-432B-9D68-F5B5A5DB0C23}" type="sibTrans" cxnId="{8A6BCFCB-6FD1-4958-A0DA-1EC39B567D50}">
      <dgm:prSet/>
      <dgm:spPr/>
      <dgm:t>
        <a:bodyPr/>
        <a:lstStyle/>
        <a:p>
          <a:endParaRPr lang="en-GB"/>
        </a:p>
      </dgm:t>
    </dgm:pt>
    <dgm:pt modelId="{EFDAC381-BD14-409D-B27A-4F4F33A5E823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Sent to businesses who have missed an instalment.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691ECD-CC08-410F-8985-492B0521B459}" type="parTrans" cxnId="{D4245D0A-1EAB-423A-A005-69E042906CE8}">
      <dgm:prSet/>
      <dgm:spPr/>
      <dgm:t>
        <a:bodyPr/>
        <a:lstStyle/>
        <a:p>
          <a:endParaRPr lang="en-GB"/>
        </a:p>
      </dgm:t>
    </dgm:pt>
    <dgm:pt modelId="{8A94D8A2-639B-4F73-8E99-31C8F13744CE}" type="sibTrans" cxnId="{D4245D0A-1EAB-423A-A005-69E042906CE8}">
      <dgm:prSet/>
      <dgm:spPr/>
      <dgm:t>
        <a:bodyPr/>
        <a:lstStyle/>
        <a:p>
          <a:endParaRPr lang="en-GB"/>
        </a:p>
      </dgm:t>
    </dgm:pt>
    <dgm:pt modelId="{AFE5E004-6F41-4917-AEF9-320ED9FDFDD2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Pre-Summons</a:t>
          </a:r>
        </a:p>
      </dgm:t>
    </dgm:pt>
    <dgm:pt modelId="{313DDAF2-1D25-464B-B74A-A0705D72F0E4}" type="parTrans" cxnId="{4BBCEAA3-A15A-4234-BA9A-0AEEC017B1F0}">
      <dgm:prSet/>
      <dgm:spPr/>
      <dgm:t>
        <a:bodyPr/>
        <a:lstStyle/>
        <a:p>
          <a:endParaRPr lang="en-GB"/>
        </a:p>
      </dgm:t>
    </dgm:pt>
    <dgm:pt modelId="{5721BA07-6906-4C09-B844-EAF3C5131CC0}" type="sibTrans" cxnId="{4BBCEAA3-A15A-4234-BA9A-0AEEC017B1F0}">
      <dgm:prSet/>
      <dgm:spPr/>
      <dgm:t>
        <a:bodyPr/>
        <a:lstStyle/>
        <a:p>
          <a:endParaRPr lang="en-GB"/>
        </a:p>
      </dgm:t>
    </dgm:pt>
    <dgm:pt modelId="{FD774522-2BD3-42B9-B88A-B51E30614334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The instalment option is now removed and the bill for the remaining years charge is now due in a single instlament.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F53C23-6164-4C2E-8215-C4E5615FAE5F}" type="parTrans" cxnId="{2C123763-FAE7-4336-8C18-658713D6DBA7}">
      <dgm:prSet/>
      <dgm:spPr/>
      <dgm:t>
        <a:bodyPr/>
        <a:lstStyle/>
        <a:p>
          <a:endParaRPr lang="en-GB"/>
        </a:p>
      </dgm:t>
    </dgm:pt>
    <dgm:pt modelId="{9E8EB5FB-1848-4524-802E-3C2E546AFDDE}" type="sibTrans" cxnId="{2C123763-FAE7-4336-8C18-658713D6DBA7}">
      <dgm:prSet/>
      <dgm:spPr/>
      <dgm:t>
        <a:bodyPr/>
        <a:lstStyle/>
        <a:p>
          <a:endParaRPr lang="en-GB"/>
        </a:p>
      </dgm:t>
    </dgm:pt>
    <dgm:pt modelId="{AA333F58-DF14-406B-87CF-1A5148A76CA6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Summons</a:t>
          </a:r>
        </a:p>
      </dgm:t>
    </dgm:pt>
    <dgm:pt modelId="{862DC641-009B-4E90-B206-6B5B24288AE3}" type="parTrans" cxnId="{96DD18C0-3651-41F1-85FE-97E933EDABA7}">
      <dgm:prSet/>
      <dgm:spPr/>
      <dgm:t>
        <a:bodyPr/>
        <a:lstStyle/>
        <a:p>
          <a:endParaRPr lang="en-GB"/>
        </a:p>
      </dgm:t>
    </dgm:pt>
    <dgm:pt modelId="{DBEF2D67-335C-4BB7-9FF3-FF12C8068168}" type="sibTrans" cxnId="{96DD18C0-3651-41F1-85FE-97E933EDABA7}">
      <dgm:prSet/>
      <dgm:spPr/>
      <dgm:t>
        <a:bodyPr/>
        <a:lstStyle/>
        <a:p>
          <a:endParaRPr lang="en-GB"/>
        </a:p>
      </dgm:t>
    </dgm:pt>
    <dgm:pt modelId="{2C0766B4-A9FE-4654-8C78-E872FB350E13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Details the address the charge relates to, the Rateable Value and the charge for the financial year, including any reliefs applied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</dgm:t>
    </dgm:pt>
    <dgm:pt modelId="{20D07F38-9972-4F3F-B994-F36DFCBF0F5F}" type="parTrans" cxnId="{2C2A79AC-A37A-45A7-95E2-A5CB80DCBCA4}">
      <dgm:prSet/>
      <dgm:spPr/>
      <dgm:t>
        <a:bodyPr/>
        <a:lstStyle/>
        <a:p>
          <a:endParaRPr lang="en-GB"/>
        </a:p>
      </dgm:t>
    </dgm:pt>
    <dgm:pt modelId="{E944FDDC-460D-456D-86AC-52868A715EFB}" type="sibTrans" cxnId="{2C2A79AC-A37A-45A7-95E2-A5CB80DCBCA4}">
      <dgm:prSet/>
      <dgm:spPr/>
      <dgm:t>
        <a:bodyPr/>
        <a:lstStyle/>
        <a:p>
          <a:endParaRPr lang="en-GB"/>
        </a:p>
      </dgm:t>
    </dgm:pt>
    <dgm:pt modelId="{0101DDB2-F4E5-4D8B-AB23-B94FE838E72C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Details the payment method and the dates in which the monthly instalments are due to maintain correct billing.</a:t>
          </a: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A8F142-4D4D-4207-8F16-BDC8DC282FF6}" type="parTrans" cxnId="{83A02779-2ECA-4370-A858-0FBFE37BBCA0}">
      <dgm:prSet/>
      <dgm:spPr/>
      <dgm:t>
        <a:bodyPr/>
        <a:lstStyle/>
        <a:p>
          <a:endParaRPr lang="en-GB"/>
        </a:p>
      </dgm:t>
    </dgm:pt>
    <dgm:pt modelId="{99C33733-2609-4632-84FA-E0BD105DEAAA}" type="sibTrans" cxnId="{83A02779-2ECA-4370-A858-0FBFE37BBCA0}">
      <dgm:prSet/>
      <dgm:spPr/>
      <dgm:t>
        <a:bodyPr/>
        <a:lstStyle/>
        <a:p>
          <a:endParaRPr lang="en-GB"/>
        </a:p>
      </dgm:t>
    </dgm:pt>
    <dgm:pt modelId="{7F8A3F8D-5903-4BAF-ABFD-3EB95D73E53D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Final notices are sent to accounts which have defaulted twice in a financial year even if they have caught back up to date from the 1st Reminder notice </a:t>
          </a: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A8FECF-BB53-4E6E-BE13-C42539533859}" type="parTrans" cxnId="{95C6596A-9054-484D-A5C4-72E7101C2F6D}">
      <dgm:prSet/>
      <dgm:spPr/>
      <dgm:t>
        <a:bodyPr/>
        <a:lstStyle/>
        <a:p>
          <a:endParaRPr lang="en-GB"/>
        </a:p>
      </dgm:t>
    </dgm:pt>
    <dgm:pt modelId="{75670989-3D9F-4EFE-846C-2168E13C5979}" type="sibTrans" cxnId="{95C6596A-9054-484D-A5C4-72E7101C2F6D}">
      <dgm:prSet/>
      <dgm:spPr/>
      <dgm:t>
        <a:bodyPr/>
        <a:lstStyle/>
        <a:p>
          <a:endParaRPr lang="en-GB"/>
        </a:p>
      </dgm:t>
    </dgm:pt>
    <dgm:pt modelId="{E2925A08-169B-43F8-BFFB-C22B387F9C0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Payment to bring clear the Rates charge will not incur costs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</dgm:t>
    </dgm:pt>
    <dgm:pt modelId="{A0A9A23A-5592-44F2-8136-D570F87D66DA}" type="parTrans" cxnId="{70AF7177-E5FF-487D-A3E4-C01C5728BF7C}">
      <dgm:prSet/>
      <dgm:spPr/>
      <dgm:t>
        <a:bodyPr/>
        <a:lstStyle/>
        <a:p>
          <a:endParaRPr lang="en-GB"/>
        </a:p>
      </dgm:t>
    </dgm:pt>
    <dgm:pt modelId="{F9534155-3D79-4612-A8FB-AC3FA4EB9BC4}" type="sibTrans" cxnId="{70AF7177-E5FF-487D-A3E4-C01C5728BF7C}">
      <dgm:prSet/>
      <dgm:spPr/>
      <dgm:t>
        <a:bodyPr/>
        <a:lstStyle/>
        <a:p>
          <a:endParaRPr lang="en-GB"/>
        </a:p>
      </dgm:t>
    </dgm:pt>
    <dgm:pt modelId="{C45719CF-3299-4DC3-824F-36A86F93CE89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All contact which may have been received by the Council from the Ratepayer, is checked to make sure that the charge is accuate.</a:t>
          </a: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8D8B45-2609-4BA4-9E74-10A1EAB31E3A}" type="parTrans" cxnId="{81E4BD7E-F377-4F7C-A8E2-EB38B1DB4B10}">
      <dgm:prSet/>
      <dgm:spPr/>
      <dgm:t>
        <a:bodyPr/>
        <a:lstStyle/>
        <a:p>
          <a:endParaRPr lang="en-GB"/>
        </a:p>
      </dgm:t>
    </dgm:pt>
    <dgm:pt modelId="{4B322597-9457-4586-851D-255A5E2B6FA3}" type="sibTrans" cxnId="{81E4BD7E-F377-4F7C-A8E2-EB38B1DB4B10}">
      <dgm:prSet/>
      <dgm:spPr/>
      <dgm:t>
        <a:bodyPr/>
        <a:lstStyle/>
        <a:p>
          <a:endParaRPr lang="en-GB"/>
        </a:p>
      </dgm:t>
    </dgm:pt>
    <dgm:pt modelId="{B0455B02-3922-4C7E-851D-0CCE48D19A5C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£80 is applied to an account as to cover the councils cost of collection charge.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BB0FAB-5380-4910-8E56-656977C05A01}" type="parTrans" cxnId="{DC08369A-919C-4A45-BB58-09E792FD27B8}">
      <dgm:prSet/>
      <dgm:spPr/>
      <dgm:t>
        <a:bodyPr/>
        <a:lstStyle/>
        <a:p>
          <a:endParaRPr lang="en-GB"/>
        </a:p>
      </dgm:t>
    </dgm:pt>
    <dgm:pt modelId="{132DDCFD-5D08-40CB-AA74-9A5C297CFBB6}" type="sibTrans" cxnId="{DC08369A-919C-4A45-BB58-09E792FD27B8}">
      <dgm:prSet/>
      <dgm:spPr/>
      <dgm:t>
        <a:bodyPr/>
        <a:lstStyle/>
        <a:p>
          <a:endParaRPr lang="en-GB"/>
        </a:p>
      </dgm:t>
    </dgm:pt>
    <dgm:pt modelId="{89B6E72A-E511-4E8B-80BE-445C82959AB3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Last chance to pay the account before it is registered at the Magaistrates Court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</dgm:t>
    </dgm:pt>
    <dgm:pt modelId="{6863EA36-B06E-4695-84E4-E31639E4102A}" type="parTrans" cxnId="{D730392F-5AE2-45B8-B291-4D340CC313C3}">
      <dgm:prSet/>
      <dgm:spPr/>
      <dgm:t>
        <a:bodyPr/>
        <a:lstStyle/>
        <a:p>
          <a:endParaRPr lang="en-GB"/>
        </a:p>
      </dgm:t>
    </dgm:pt>
    <dgm:pt modelId="{A4A4BF80-2478-4C60-BBA5-33987F69A8D9}" type="sibTrans" cxnId="{D730392F-5AE2-45B8-B291-4D340CC313C3}">
      <dgm:prSet/>
      <dgm:spPr/>
      <dgm:t>
        <a:bodyPr/>
        <a:lstStyle/>
        <a:p>
          <a:endParaRPr lang="en-GB"/>
        </a:p>
      </dgm:t>
    </dgm:pt>
    <dgm:pt modelId="{92BD929E-46D6-4AC4-A96C-CA842770962F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Details the date of court. Businesses can send a representative to the court if they feel that they have a legal defense to not paying the demand notice. Poor trading period is not legal defence.</a:t>
          </a: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0E9832-19E0-4932-A1CB-110097A128E6}" type="parTrans" cxnId="{9976E409-F38B-4083-AA31-875527C58051}">
      <dgm:prSet/>
      <dgm:spPr/>
      <dgm:t>
        <a:bodyPr/>
        <a:lstStyle/>
        <a:p>
          <a:endParaRPr lang="en-GB"/>
        </a:p>
      </dgm:t>
    </dgm:pt>
    <dgm:pt modelId="{7F369014-5477-473C-BDA8-32EB33C439FF}" type="sibTrans" cxnId="{9976E409-F38B-4083-AA31-875527C58051}">
      <dgm:prSet/>
      <dgm:spPr/>
      <dgm:t>
        <a:bodyPr/>
        <a:lstStyle/>
        <a:p>
          <a:endParaRPr lang="en-GB"/>
        </a:p>
      </dgm:t>
    </dgm:pt>
    <dgm:pt modelId="{D1810AB4-9132-4063-AFF4-1CF26D349F3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Liability Order</a:t>
          </a:r>
        </a:p>
      </dgm:t>
    </dgm:pt>
    <dgm:pt modelId="{44EE7F80-86B6-4965-98A9-45C94F897869}" type="parTrans" cxnId="{75C54CA2-42DE-453C-85F3-47FF6A3382B1}">
      <dgm:prSet/>
      <dgm:spPr/>
      <dgm:t>
        <a:bodyPr/>
        <a:lstStyle/>
        <a:p>
          <a:endParaRPr lang="en-GB"/>
        </a:p>
      </dgm:t>
    </dgm:pt>
    <dgm:pt modelId="{7E209F9F-A55A-4FA2-A319-57C48B43D644}" type="sibTrans" cxnId="{75C54CA2-42DE-453C-85F3-47FF6A3382B1}">
      <dgm:prSet/>
      <dgm:spPr/>
      <dgm:t>
        <a:bodyPr/>
        <a:lstStyle/>
        <a:p>
          <a:endParaRPr lang="en-GB"/>
        </a:p>
      </dgm:t>
    </dgm:pt>
    <dgm:pt modelId="{F9CBC0BE-5C6D-4C33-A3B0-4DC0A537BF4F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Further costs of £50 are applied to the account for the cost incurred of registering the debt with the Magistates</a:t>
          </a:r>
          <a:r>
            <a:rPr lang="en-US" sz="1200" b="0" i="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</dgm:t>
    </dgm:pt>
    <dgm:pt modelId="{C77D0758-241C-4AB1-8C0D-0199D43526F2}" type="parTrans" cxnId="{A02C93B6-F16B-466F-82D6-A43A658C6455}">
      <dgm:prSet/>
      <dgm:spPr/>
      <dgm:t>
        <a:bodyPr/>
        <a:lstStyle/>
        <a:p>
          <a:endParaRPr lang="en-GB"/>
        </a:p>
      </dgm:t>
    </dgm:pt>
    <dgm:pt modelId="{745352EE-10AE-4829-B250-4DEDE0BD3D96}" type="sibTrans" cxnId="{A02C93B6-F16B-466F-82D6-A43A658C6455}">
      <dgm:prSet/>
      <dgm:spPr/>
      <dgm:t>
        <a:bodyPr/>
        <a:lstStyle/>
        <a:p>
          <a:endParaRPr lang="en-GB"/>
        </a:p>
      </dgm:t>
    </dgm:pt>
    <dgm:pt modelId="{FD350390-8403-4626-8BC6-DA00DC45E196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US" sz="1200" b="0" i="0" u="none">
              <a:latin typeface="Arial" panose="020B0604020202020204" pitchFamily="34" charset="0"/>
              <a:cs typeface="Arial" panose="020B0604020202020204" pitchFamily="34" charset="0"/>
            </a:rPr>
            <a:t>Allows the Council to take a variety of options to collect the debt due. Examples are Enforcement Agent referral, Special arrangement, insolvency and in extreme cases prison.</a:t>
          </a: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7BDC85-80BD-4EFA-BF4D-64DFD0AF8AB4}" type="parTrans" cxnId="{9945E2D9-7D60-4750-B9F7-E5848D7A1E0B}">
      <dgm:prSet/>
      <dgm:spPr/>
      <dgm:t>
        <a:bodyPr/>
        <a:lstStyle/>
        <a:p>
          <a:endParaRPr lang="en-GB"/>
        </a:p>
      </dgm:t>
    </dgm:pt>
    <dgm:pt modelId="{2D1578B5-55C7-43EA-AAD4-9B922E045293}" type="sibTrans" cxnId="{9945E2D9-7D60-4750-B9F7-E5848D7A1E0B}">
      <dgm:prSet/>
      <dgm:spPr/>
      <dgm:t>
        <a:bodyPr/>
        <a:lstStyle/>
        <a:p>
          <a:endParaRPr lang="en-GB"/>
        </a:p>
      </dgm:t>
    </dgm:pt>
    <dgm:pt modelId="{B9C2E211-B8E2-4AC8-ABFD-23D7E4A43CCC}">
      <dgm:prSet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en-US" sz="3600" b="0" i="0"/>
        </a:p>
      </dgm:t>
    </dgm:pt>
    <dgm:pt modelId="{39B5B346-0A14-4644-9040-3C01CE89E073}" type="parTrans" cxnId="{4BB2C056-2755-4828-AA2F-8FC5433224D0}">
      <dgm:prSet/>
      <dgm:spPr/>
      <dgm:t>
        <a:bodyPr/>
        <a:lstStyle/>
        <a:p>
          <a:endParaRPr lang="en-GB"/>
        </a:p>
      </dgm:t>
    </dgm:pt>
    <dgm:pt modelId="{C5E12AC1-F7C5-49E0-9EC3-4FB8F3EE248E}" type="sibTrans" cxnId="{4BB2C056-2755-4828-AA2F-8FC5433224D0}">
      <dgm:prSet/>
      <dgm:spPr/>
      <dgm:t>
        <a:bodyPr/>
        <a:lstStyle/>
        <a:p>
          <a:endParaRPr lang="en-GB"/>
        </a:p>
      </dgm:t>
    </dgm:pt>
    <dgm:pt modelId="{7F247D58-6D49-44D8-9EC3-05C0E61C2614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4DC65A-8CC5-42B4-92C2-D78BCB041EA0}" type="parTrans" cxnId="{6EB3F385-7C68-4915-B372-B8DF6DF46229}">
      <dgm:prSet/>
      <dgm:spPr/>
      <dgm:t>
        <a:bodyPr/>
        <a:lstStyle/>
        <a:p>
          <a:endParaRPr lang="en-GB"/>
        </a:p>
      </dgm:t>
    </dgm:pt>
    <dgm:pt modelId="{87B9D122-E727-450E-BAAA-C1DF65D19C6D}" type="sibTrans" cxnId="{6EB3F385-7C68-4915-B372-B8DF6DF46229}">
      <dgm:prSet/>
      <dgm:spPr/>
      <dgm:t>
        <a:bodyPr/>
        <a:lstStyle/>
        <a:p>
          <a:endParaRPr lang="en-GB"/>
        </a:p>
      </dgm:t>
    </dgm:pt>
    <dgm:pt modelId="{CA9EA945-B551-4DFD-B01C-5287A05AC4F0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0C14CE-2D3C-4F24-8F91-E4CA51A72DCA}" type="parTrans" cxnId="{334E1C70-FC85-4D74-A8CE-E7EB80A15BF5}">
      <dgm:prSet/>
      <dgm:spPr/>
      <dgm:t>
        <a:bodyPr/>
        <a:lstStyle/>
        <a:p>
          <a:endParaRPr lang="en-GB"/>
        </a:p>
      </dgm:t>
    </dgm:pt>
    <dgm:pt modelId="{F7C99D05-C1B0-41EE-A22E-6C14B0F63C2E}" type="sibTrans" cxnId="{334E1C70-FC85-4D74-A8CE-E7EB80A15BF5}">
      <dgm:prSet/>
      <dgm:spPr/>
      <dgm:t>
        <a:bodyPr/>
        <a:lstStyle/>
        <a:p>
          <a:endParaRPr lang="en-GB"/>
        </a:p>
      </dgm:t>
    </dgm:pt>
    <dgm:pt modelId="{A3F1300A-95AC-4D37-8535-800C7C543837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en-US" sz="120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591AD5D-1ACE-4851-8906-925D6D161D9C}" type="parTrans" cxnId="{983606C0-3D5D-4A19-9702-BE1B81290C08}">
      <dgm:prSet/>
      <dgm:spPr/>
      <dgm:t>
        <a:bodyPr/>
        <a:lstStyle/>
        <a:p>
          <a:endParaRPr lang="en-GB"/>
        </a:p>
      </dgm:t>
    </dgm:pt>
    <dgm:pt modelId="{67D121C2-D448-491D-8F3D-75686A17673E}" type="sibTrans" cxnId="{983606C0-3D5D-4A19-9702-BE1B81290C08}">
      <dgm:prSet/>
      <dgm:spPr/>
      <dgm:t>
        <a:bodyPr/>
        <a:lstStyle/>
        <a:p>
          <a:endParaRPr lang="en-GB"/>
        </a:p>
      </dgm:t>
    </dgm:pt>
    <dgm:pt modelId="{6CE7C18A-7926-42CD-B85C-54940C0595F9}" type="pres">
      <dgm:prSet presAssocID="{9FC2C698-9E85-4B97-A883-6852AFD89F52}" presName="Name0" presStyleCnt="0">
        <dgm:presLayoutVars>
          <dgm:dir/>
          <dgm:animLvl val="lvl"/>
          <dgm:resizeHandles val="exact"/>
        </dgm:presLayoutVars>
      </dgm:prSet>
      <dgm:spPr/>
    </dgm:pt>
    <dgm:pt modelId="{E209C996-4B77-4210-BD66-DC61B069CD2D}" type="pres">
      <dgm:prSet presAssocID="{366B1447-651F-4972-8C4C-32B96672A0AF}" presName="linNode" presStyleCnt="0"/>
      <dgm:spPr/>
    </dgm:pt>
    <dgm:pt modelId="{36E2940A-58CA-453F-A0D7-4F40068839A0}" type="pres">
      <dgm:prSet presAssocID="{366B1447-651F-4972-8C4C-32B96672A0AF}" presName="parentText" presStyleLbl="node1" presStyleIdx="0" presStyleCnt="5" custScaleX="66813">
        <dgm:presLayoutVars>
          <dgm:chMax val="1"/>
          <dgm:bulletEnabled val="1"/>
        </dgm:presLayoutVars>
      </dgm:prSet>
      <dgm:spPr/>
    </dgm:pt>
    <dgm:pt modelId="{5F7B3972-E14B-4C41-BE80-A2C55FC1EC38}" type="pres">
      <dgm:prSet presAssocID="{366B1447-651F-4972-8C4C-32B96672A0AF}" presName="descendantText" presStyleLbl="alignAccFollowNode1" presStyleIdx="0" presStyleCnt="5" custScaleY="130781">
        <dgm:presLayoutVars>
          <dgm:bulletEnabled val="1"/>
        </dgm:presLayoutVars>
      </dgm:prSet>
      <dgm:spPr/>
    </dgm:pt>
    <dgm:pt modelId="{DABA3049-541F-4BBC-A815-1B0DE7FAAC82}" type="pres">
      <dgm:prSet presAssocID="{2ADAED7A-13DD-4A29-9CD9-1091CC097A80}" presName="sp" presStyleCnt="0"/>
      <dgm:spPr/>
    </dgm:pt>
    <dgm:pt modelId="{84CD3B28-46CA-431A-9E85-FF6FF4BF1570}" type="pres">
      <dgm:prSet presAssocID="{7086C6F8-2DC4-41D9-8ED4-13527B5A8DD3}" presName="linNode" presStyleCnt="0"/>
      <dgm:spPr/>
    </dgm:pt>
    <dgm:pt modelId="{E658410C-3EC8-4A83-84D4-B99B27A3BB22}" type="pres">
      <dgm:prSet presAssocID="{7086C6F8-2DC4-41D9-8ED4-13527B5A8DD3}" presName="parentText" presStyleLbl="node1" presStyleIdx="1" presStyleCnt="5" custScaleX="67333">
        <dgm:presLayoutVars>
          <dgm:chMax val="1"/>
          <dgm:bulletEnabled val="1"/>
        </dgm:presLayoutVars>
      </dgm:prSet>
      <dgm:spPr/>
    </dgm:pt>
    <dgm:pt modelId="{91FAA2B7-BAFC-4F6B-81AF-E0A46007A2F5}" type="pres">
      <dgm:prSet presAssocID="{7086C6F8-2DC4-41D9-8ED4-13527B5A8DD3}" presName="descendantText" presStyleLbl="alignAccFollowNode1" presStyleIdx="1" presStyleCnt="5">
        <dgm:presLayoutVars>
          <dgm:bulletEnabled val="1"/>
        </dgm:presLayoutVars>
      </dgm:prSet>
      <dgm:spPr/>
    </dgm:pt>
    <dgm:pt modelId="{F26BEADF-3A06-4401-A1E0-AD09A0684733}" type="pres">
      <dgm:prSet presAssocID="{72ADE495-2826-432B-9D68-F5B5A5DB0C23}" presName="sp" presStyleCnt="0"/>
      <dgm:spPr/>
    </dgm:pt>
    <dgm:pt modelId="{B060BEF5-88A0-4127-8FD6-A229BDE16EF6}" type="pres">
      <dgm:prSet presAssocID="{AFE5E004-6F41-4917-AEF9-320ED9FDFDD2}" presName="linNode" presStyleCnt="0"/>
      <dgm:spPr/>
    </dgm:pt>
    <dgm:pt modelId="{B6D38D60-28B7-46DF-8B5B-968D0B457714}" type="pres">
      <dgm:prSet presAssocID="{AFE5E004-6F41-4917-AEF9-320ED9FDFDD2}" presName="parentText" presStyleLbl="node1" presStyleIdx="2" presStyleCnt="5" custScaleX="67332">
        <dgm:presLayoutVars>
          <dgm:chMax val="1"/>
          <dgm:bulletEnabled val="1"/>
        </dgm:presLayoutVars>
      </dgm:prSet>
      <dgm:spPr/>
    </dgm:pt>
    <dgm:pt modelId="{EE088796-228B-43F5-83F6-F203483548CE}" type="pres">
      <dgm:prSet presAssocID="{AFE5E004-6F41-4917-AEF9-320ED9FDFDD2}" presName="descendantText" presStyleLbl="alignAccFollowNode1" presStyleIdx="2" presStyleCnt="5">
        <dgm:presLayoutVars>
          <dgm:bulletEnabled val="1"/>
        </dgm:presLayoutVars>
      </dgm:prSet>
      <dgm:spPr/>
    </dgm:pt>
    <dgm:pt modelId="{554FB55E-ED0B-489E-B1B8-65F83E122D65}" type="pres">
      <dgm:prSet presAssocID="{5721BA07-6906-4C09-B844-EAF3C5131CC0}" presName="sp" presStyleCnt="0"/>
      <dgm:spPr/>
    </dgm:pt>
    <dgm:pt modelId="{E2A1C1B5-2E42-48A9-8FEA-EB21A643370A}" type="pres">
      <dgm:prSet presAssocID="{AA333F58-DF14-406B-87CF-1A5148A76CA6}" presName="linNode" presStyleCnt="0"/>
      <dgm:spPr/>
    </dgm:pt>
    <dgm:pt modelId="{D9A9A0AF-35B1-4977-9C07-99CEE99F44CC}" type="pres">
      <dgm:prSet presAssocID="{AA333F58-DF14-406B-87CF-1A5148A76CA6}" presName="parentText" presStyleLbl="node1" presStyleIdx="3" presStyleCnt="5" custScaleX="66650">
        <dgm:presLayoutVars>
          <dgm:chMax val="1"/>
          <dgm:bulletEnabled val="1"/>
        </dgm:presLayoutVars>
      </dgm:prSet>
      <dgm:spPr/>
    </dgm:pt>
    <dgm:pt modelId="{9A8465CB-AF42-4C09-B78B-99996BA46EA5}" type="pres">
      <dgm:prSet presAssocID="{AA333F58-DF14-406B-87CF-1A5148A76CA6}" presName="descendantText" presStyleLbl="alignAccFollowNode1" presStyleIdx="3" presStyleCnt="5">
        <dgm:presLayoutVars>
          <dgm:bulletEnabled val="1"/>
        </dgm:presLayoutVars>
      </dgm:prSet>
      <dgm:spPr/>
    </dgm:pt>
    <dgm:pt modelId="{70E68657-E0AD-4682-875C-FDA4D9D96463}" type="pres">
      <dgm:prSet presAssocID="{DBEF2D67-335C-4BB7-9FF3-FF12C8068168}" presName="sp" presStyleCnt="0"/>
      <dgm:spPr/>
    </dgm:pt>
    <dgm:pt modelId="{71289D25-51D9-419D-8036-24AF1D06EFF1}" type="pres">
      <dgm:prSet presAssocID="{D1810AB4-9132-4063-AFF4-1CF26D349F32}" presName="linNode" presStyleCnt="0"/>
      <dgm:spPr/>
    </dgm:pt>
    <dgm:pt modelId="{D3D71AAD-AC9A-4627-A246-454706FB09BE}" type="pres">
      <dgm:prSet presAssocID="{D1810AB4-9132-4063-AFF4-1CF26D349F32}" presName="parentText" presStyleLbl="node1" presStyleIdx="4" presStyleCnt="5" custScaleX="68699">
        <dgm:presLayoutVars>
          <dgm:chMax val="1"/>
          <dgm:bulletEnabled val="1"/>
        </dgm:presLayoutVars>
      </dgm:prSet>
      <dgm:spPr/>
    </dgm:pt>
    <dgm:pt modelId="{437E0880-B377-47DC-ACE0-457850F61507}" type="pres">
      <dgm:prSet presAssocID="{D1810AB4-9132-4063-AFF4-1CF26D349F32}" presName="descendantText" presStyleLbl="alignAccFollowNode1" presStyleIdx="4" presStyleCnt="5">
        <dgm:presLayoutVars>
          <dgm:bulletEnabled val="1"/>
        </dgm:presLayoutVars>
      </dgm:prSet>
      <dgm:spPr/>
    </dgm:pt>
  </dgm:ptLst>
  <dgm:cxnLst>
    <dgm:cxn modelId="{04089600-6767-4E2F-ADA2-E7ADBD0C04B4}" type="presOf" srcId="{7086C6F8-2DC4-41D9-8ED4-13527B5A8DD3}" destId="{E658410C-3EC8-4A83-84D4-B99B27A3BB22}" srcOrd="0" destOrd="0" presId="urn:microsoft.com/office/officeart/2005/8/layout/vList5"/>
    <dgm:cxn modelId="{A701C100-A503-4198-A805-3498A3F4E30C}" type="presOf" srcId="{C45719CF-3299-4DC3-824F-36A86F93CE89}" destId="{EE088796-228B-43F5-83F6-F203483548CE}" srcOrd="0" destOrd="2" presId="urn:microsoft.com/office/officeart/2005/8/layout/vList5"/>
    <dgm:cxn modelId="{9976E409-F38B-4083-AA31-875527C58051}" srcId="{AA333F58-DF14-406B-87CF-1A5148A76CA6}" destId="{92BD929E-46D6-4AC4-A96C-CA842770962F}" srcOrd="2" destOrd="0" parTransId="{BE0E9832-19E0-4932-A1CB-110097A128E6}" sibTransId="{7F369014-5477-473C-BDA8-32EB33C439FF}"/>
    <dgm:cxn modelId="{D4245D0A-1EAB-423A-A005-69E042906CE8}" srcId="{7086C6F8-2DC4-41D9-8ED4-13527B5A8DD3}" destId="{EFDAC381-BD14-409D-B27A-4F4F33A5E823}" srcOrd="0" destOrd="0" parTransId="{67691ECD-CC08-410F-8985-492B0521B459}" sibTransId="{8A94D8A2-639B-4F73-8E99-31C8F13744CE}"/>
    <dgm:cxn modelId="{7BF2E00E-44AD-4862-8518-85436A66393A}" type="presOf" srcId="{B9C2E211-B8E2-4AC8-ABFD-23D7E4A43CCC}" destId="{437E0880-B377-47DC-ACE0-457850F61507}" srcOrd="0" destOrd="5" presId="urn:microsoft.com/office/officeart/2005/8/layout/vList5"/>
    <dgm:cxn modelId="{ACECEA14-E1D3-4712-AA7B-9EC4EE314CFD}" type="presOf" srcId="{89B6E72A-E511-4E8B-80BE-445C82959AB3}" destId="{9A8465CB-AF42-4C09-B78B-99996BA46EA5}" srcOrd="0" destOrd="1" presId="urn:microsoft.com/office/officeart/2005/8/layout/vList5"/>
    <dgm:cxn modelId="{DA2F4D22-B7A1-4846-9A8A-BEE6BE2D92C9}" type="presOf" srcId="{E2925A08-169B-43F8-BFFB-C22B387F9C02}" destId="{EE088796-228B-43F5-83F6-F203483548CE}" srcOrd="0" destOrd="1" presId="urn:microsoft.com/office/officeart/2005/8/layout/vList5"/>
    <dgm:cxn modelId="{D730392F-5AE2-45B8-B291-4D340CC313C3}" srcId="{AA333F58-DF14-406B-87CF-1A5148A76CA6}" destId="{89B6E72A-E511-4E8B-80BE-445C82959AB3}" srcOrd="1" destOrd="0" parTransId="{6863EA36-B06E-4695-84E4-E31639E4102A}" sibTransId="{A4A4BF80-2478-4C60-BBA5-33987F69A8D9}"/>
    <dgm:cxn modelId="{D280F837-D1CC-45A1-805B-BAAE500EE75A}" srcId="{9FC2C698-9E85-4B97-A883-6852AFD89F52}" destId="{366B1447-651F-4972-8C4C-32B96672A0AF}" srcOrd="0" destOrd="0" parTransId="{39EC5E79-2AA6-419A-A360-0BA324263A93}" sibTransId="{2ADAED7A-13DD-4A29-9CD9-1091CC097A80}"/>
    <dgm:cxn modelId="{9A68165E-D7FE-4619-9A49-9874FD61B0A9}" type="presOf" srcId="{AFE5E004-6F41-4917-AEF9-320ED9FDFDD2}" destId="{B6D38D60-28B7-46DF-8B5B-968D0B457714}" srcOrd="0" destOrd="0" presId="urn:microsoft.com/office/officeart/2005/8/layout/vList5"/>
    <dgm:cxn modelId="{3D644F5E-53D4-4298-A09A-3DBE4EB871AE}" srcId="{366B1447-651F-4972-8C4C-32B96672A0AF}" destId="{1159224D-45E9-4C4E-9945-A15429B27424}" srcOrd="0" destOrd="0" parTransId="{393C4A18-8260-4347-8179-E631CDB09675}" sibTransId="{C34DAA51-6338-4DF4-8C13-DCB920D55F5C}"/>
    <dgm:cxn modelId="{5A960643-7151-4FDD-8A43-71DD7EA23176}" type="presOf" srcId="{1159224D-45E9-4C4E-9945-A15429B27424}" destId="{5F7B3972-E14B-4C41-BE80-A2C55FC1EC38}" srcOrd="0" destOrd="0" presId="urn:microsoft.com/office/officeart/2005/8/layout/vList5"/>
    <dgm:cxn modelId="{2C123763-FAE7-4336-8C18-658713D6DBA7}" srcId="{AFE5E004-6F41-4917-AEF9-320ED9FDFDD2}" destId="{FD774522-2BD3-42B9-B88A-B51E30614334}" srcOrd="0" destOrd="0" parTransId="{C3F53C23-6164-4C2E-8215-C4E5615FAE5F}" sibTransId="{9E8EB5FB-1848-4524-802E-3C2E546AFDDE}"/>
    <dgm:cxn modelId="{95C6596A-9054-484D-A5C4-72E7101C2F6D}" srcId="{7086C6F8-2DC4-41D9-8ED4-13527B5A8DD3}" destId="{7F8A3F8D-5903-4BAF-ABFD-3EB95D73E53D}" srcOrd="1" destOrd="0" parTransId="{DDA8FECF-BB53-4E6E-BE13-C42539533859}" sibTransId="{75670989-3D9F-4EFE-846C-2168E13C5979}"/>
    <dgm:cxn modelId="{290EC64C-A89B-43F6-96D4-CD6CD8A1E92E}" type="presOf" srcId="{2C0766B4-A9FE-4654-8C78-E872FB350E13}" destId="{5F7B3972-E14B-4C41-BE80-A2C55FC1EC38}" srcOrd="0" destOrd="1" presId="urn:microsoft.com/office/officeart/2005/8/layout/vList5"/>
    <dgm:cxn modelId="{334E1C70-FC85-4D74-A8CE-E7EB80A15BF5}" srcId="{D1810AB4-9132-4063-AFF4-1CF26D349F32}" destId="{CA9EA945-B551-4DFD-B01C-5287A05AC4F0}" srcOrd="1" destOrd="0" parTransId="{3D0C14CE-2D3C-4F24-8F91-E4CA51A72DCA}" sibTransId="{F7C99D05-C1B0-41EE-A22E-6C14B0F63C2E}"/>
    <dgm:cxn modelId="{9FF10F72-A5F4-46B6-BBE5-D1597FBA06F7}" type="presOf" srcId="{7F8A3F8D-5903-4BAF-ABFD-3EB95D73E53D}" destId="{91FAA2B7-BAFC-4F6B-81AF-E0A46007A2F5}" srcOrd="0" destOrd="1" presId="urn:microsoft.com/office/officeart/2005/8/layout/vList5"/>
    <dgm:cxn modelId="{A7BDA652-C8D3-42A9-8210-528BCE521DAF}" type="presOf" srcId="{EFDAC381-BD14-409D-B27A-4F4F33A5E823}" destId="{91FAA2B7-BAFC-4F6B-81AF-E0A46007A2F5}" srcOrd="0" destOrd="0" presId="urn:microsoft.com/office/officeart/2005/8/layout/vList5"/>
    <dgm:cxn modelId="{4EBAC954-09AD-4159-B57F-A3CA54667885}" type="presOf" srcId="{FD350390-8403-4626-8BC6-DA00DC45E196}" destId="{437E0880-B377-47DC-ACE0-457850F61507}" srcOrd="0" destOrd="4" presId="urn:microsoft.com/office/officeart/2005/8/layout/vList5"/>
    <dgm:cxn modelId="{4BB2C056-2755-4828-AA2F-8FC5433224D0}" srcId="{D1810AB4-9132-4063-AFF4-1CF26D349F32}" destId="{B9C2E211-B8E2-4AC8-ABFD-23D7E4A43CCC}" srcOrd="5" destOrd="0" parTransId="{39B5B346-0A14-4644-9040-3C01CE89E073}" sibTransId="{C5E12AC1-F7C5-49E0-9EC3-4FB8F3EE248E}"/>
    <dgm:cxn modelId="{70AF7177-E5FF-487D-A3E4-C01C5728BF7C}" srcId="{AFE5E004-6F41-4917-AEF9-320ED9FDFDD2}" destId="{E2925A08-169B-43F8-BFFB-C22B387F9C02}" srcOrd="1" destOrd="0" parTransId="{A0A9A23A-5592-44F2-8136-D570F87D66DA}" sibTransId="{F9534155-3D79-4612-A8FB-AC3FA4EB9BC4}"/>
    <dgm:cxn modelId="{83A02779-2ECA-4370-A858-0FBFE37BBCA0}" srcId="{366B1447-651F-4972-8C4C-32B96672A0AF}" destId="{0101DDB2-F4E5-4D8B-AB23-B94FE838E72C}" srcOrd="2" destOrd="0" parTransId="{A6A8F142-4D4D-4207-8F16-BDC8DC282FF6}" sibTransId="{99C33733-2609-4632-84FA-E0BD105DEAAA}"/>
    <dgm:cxn modelId="{81E4BD7E-F377-4F7C-A8E2-EB38B1DB4B10}" srcId="{AFE5E004-6F41-4917-AEF9-320ED9FDFDD2}" destId="{C45719CF-3299-4DC3-824F-36A86F93CE89}" srcOrd="2" destOrd="0" parTransId="{458D8B45-2609-4BA4-9E74-10A1EAB31E3A}" sibTransId="{4B322597-9457-4586-851D-255A5E2B6FA3}"/>
    <dgm:cxn modelId="{69ED7D85-40FA-48FF-95EB-4D9548F5C746}" type="presOf" srcId="{D1810AB4-9132-4063-AFF4-1CF26D349F32}" destId="{D3D71AAD-AC9A-4627-A246-454706FB09BE}" srcOrd="0" destOrd="0" presId="urn:microsoft.com/office/officeart/2005/8/layout/vList5"/>
    <dgm:cxn modelId="{6EB3F385-7C68-4915-B372-B8DF6DF46229}" srcId="{D1810AB4-9132-4063-AFF4-1CF26D349F32}" destId="{7F247D58-6D49-44D8-9EC3-05C0E61C2614}" srcOrd="0" destOrd="0" parTransId="{A24DC65A-8CC5-42B4-92C2-D78BCB041EA0}" sibTransId="{87B9D122-E727-450E-BAAA-C1DF65D19C6D}"/>
    <dgm:cxn modelId="{F7D23E86-AC4B-4CE3-87FF-DC170F043FF4}" type="presOf" srcId="{A3F1300A-95AC-4D37-8535-800C7C543837}" destId="{437E0880-B377-47DC-ACE0-457850F61507}" srcOrd="0" destOrd="2" presId="urn:microsoft.com/office/officeart/2005/8/layout/vList5"/>
    <dgm:cxn modelId="{CCC14693-EDD2-42EF-BA7E-8D976A1F5E81}" type="presOf" srcId="{CA9EA945-B551-4DFD-B01C-5287A05AC4F0}" destId="{437E0880-B377-47DC-ACE0-457850F61507}" srcOrd="0" destOrd="1" presId="urn:microsoft.com/office/officeart/2005/8/layout/vList5"/>
    <dgm:cxn modelId="{08985497-22F8-4FEA-AAFE-84ABD1EAA80A}" type="presOf" srcId="{92BD929E-46D6-4AC4-A96C-CA842770962F}" destId="{9A8465CB-AF42-4C09-B78B-99996BA46EA5}" srcOrd="0" destOrd="2" presId="urn:microsoft.com/office/officeart/2005/8/layout/vList5"/>
    <dgm:cxn modelId="{DC08369A-919C-4A45-BB58-09E792FD27B8}" srcId="{AA333F58-DF14-406B-87CF-1A5148A76CA6}" destId="{B0455B02-3922-4C7E-851D-0CCE48D19A5C}" srcOrd="0" destOrd="0" parTransId="{4FBB0FAB-5380-4910-8E56-656977C05A01}" sibTransId="{132DDCFD-5D08-40CB-AA74-9A5C297CFBB6}"/>
    <dgm:cxn modelId="{75C54CA2-42DE-453C-85F3-47FF6A3382B1}" srcId="{9FC2C698-9E85-4B97-A883-6852AFD89F52}" destId="{D1810AB4-9132-4063-AFF4-1CF26D349F32}" srcOrd="4" destOrd="0" parTransId="{44EE7F80-86B6-4965-98A9-45C94F897869}" sibTransId="{7E209F9F-A55A-4FA2-A319-57C48B43D644}"/>
    <dgm:cxn modelId="{4BBCEAA3-A15A-4234-BA9A-0AEEC017B1F0}" srcId="{9FC2C698-9E85-4B97-A883-6852AFD89F52}" destId="{AFE5E004-6F41-4917-AEF9-320ED9FDFDD2}" srcOrd="2" destOrd="0" parTransId="{313DDAF2-1D25-464B-B74A-A0705D72F0E4}" sibTransId="{5721BA07-6906-4C09-B844-EAF3C5131CC0}"/>
    <dgm:cxn modelId="{FDA2F1A7-D544-4F71-9140-0C3E9B530EFE}" type="presOf" srcId="{B0455B02-3922-4C7E-851D-0CCE48D19A5C}" destId="{9A8465CB-AF42-4C09-B78B-99996BA46EA5}" srcOrd="0" destOrd="0" presId="urn:microsoft.com/office/officeart/2005/8/layout/vList5"/>
    <dgm:cxn modelId="{F1B1E4AB-0DA3-4CFC-8FC3-AE8218FDE171}" type="presOf" srcId="{9FC2C698-9E85-4B97-A883-6852AFD89F52}" destId="{6CE7C18A-7926-42CD-B85C-54940C0595F9}" srcOrd="0" destOrd="0" presId="urn:microsoft.com/office/officeart/2005/8/layout/vList5"/>
    <dgm:cxn modelId="{2C2A79AC-A37A-45A7-95E2-A5CB80DCBCA4}" srcId="{366B1447-651F-4972-8C4C-32B96672A0AF}" destId="{2C0766B4-A9FE-4654-8C78-E872FB350E13}" srcOrd="1" destOrd="0" parTransId="{20D07F38-9972-4F3F-B994-F36DFCBF0F5F}" sibTransId="{E944FDDC-460D-456D-86AC-52868A715EFB}"/>
    <dgm:cxn modelId="{4EECE0B4-03D5-42A6-A2E4-EB792FC2D8EE}" type="presOf" srcId="{366B1447-651F-4972-8C4C-32B96672A0AF}" destId="{36E2940A-58CA-453F-A0D7-4F40068839A0}" srcOrd="0" destOrd="0" presId="urn:microsoft.com/office/officeart/2005/8/layout/vList5"/>
    <dgm:cxn modelId="{A02C93B6-F16B-466F-82D6-A43A658C6455}" srcId="{D1810AB4-9132-4063-AFF4-1CF26D349F32}" destId="{F9CBC0BE-5C6D-4C33-A3B0-4DC0A537BF4F}" srcOrd="3" destOrd="0" parTransId="{C77D0758-241C-4AB1-8C0D-0199D43526F2}" sibTransId="{745352EE-10AE-4829-B250-4DEDE0BD3D96}"/>
    <dgm:cxn modelId="{983606C0-3D5D-4A19-9702-BE1B81290C08}" srcId="{D1810AB4-9132-4063-AFF4-1CF26D349F32}" destId="{A3F1300A-95AC-4D37-8535-800C7C543837}" srcOrd="2" destOrd="0" parTransId="{8591AD5D-1ACE-4851-8906-925D6D161D9C}" sibTransId="{67D121C2-D448-491D-8F3D-75686A17673E}"/>
    <dgm:cxn modelId="{96DD18C0-3651-41F1-85FE-97E933EDABA7}" srcId="{9FC2C698-9E85-4B97-A883-6852AFD89F52}" destId="{AA333F58-DF14-406B-87CF-1A5148A76CA6}" srcOrd="3" destOrd="0" parTransId="{862DC641-009B-4E90-B206-6B5B24288AE3}" sibTransId="{DBEF2D67-335C-4BB7-9FF3-FF12C8068168}"/>
    <dgm:cxn modelId="{8A6BCFCB-6FD1-4958-A0DA-1EC39B567D50}" srcId="{9FC2C698-9E85-4B97-A883-6852AFD89F52}" destId="{7086C6F8-2DC4-41D9-8ED4-13527B5A8DD3}" srcOrd="1" destOrd="0" parTransId="{A26C4F6C-76AD-4004-B73A-AFDD086C88D6}" sibTransId="{72ADE495-2826-432B-9D68-F5B5A5DB0C23}"/>
    <dgm:cxn modelId="{9945E2D9-7D60-4750-B9F7-E5848D7A1E0B}" srcId="{D1810AB4-9132-4063-AFF4-1CF26D349F32}" destId="{FD350390-8403-4626-8BC6-DA00DC45E196}" srcOrd="4" destOrd="0" parTransId="{247BDC85-80BD-4EFA-BF4D-64DFD0AF8AB4}" sibTransId="{2D1578B5-55C7-43EA-AAD4-9B922E045293}"/>
    <dgm:cxn modelId="{55CC32DF-079D-4F62-9B6E-D701B7E1AF11}" type="presOf" srcId="{AA333F58-DF14-406B-87CF-1A5148A76CA6}" destId="{D9A9A0AF-35B1-4977-9C07-99CEE99F44CC}" srcOrd="0" destOrd="0" presId="urn:microsoft.com/office/officeart/2005/8/layout/vList5"/>
    <dgm:cxn modelId="{FE59FCE1-52E7-4D0D-A46F-80F45EFEECC1}" type="presOf" srcId="{F9CBC0BE-5C6D-4C33-A3B0-4DC0A537BF4F}" destId="{437E0880-B377-47DC-ACE0-457850F61507}" srcOrd="0" destOrd="3" presId="urn:microsoft.com/office/officeart/2005/8/layout/vList5"/>
    <dgm:cxn modelId="{A95AABE4-8ADD-4461-B2E5-53893649AEE3}" type="presOf" srcId="{7F247D58-6D49-44D8-9EC3-05C0E61C2614}" destId="{437E0880-B377-47DC-ACE0-457850F61507}" srcOrd="0" destOrd="0" presId="urn:microsoft.com/office/officeart/2005/8/layout/vList5"/>
    <dgm:cxn modelId="{01C391E6-B37A-403F-B8B3-B3D900C63147}" type="presOf" srcId="{0101DDB2-F4E5-4D8B-AB23-B94FE838E72C}" destId="{5F7B3972-E14B-4C41-BE80-A2C55FC1EC38}" srcOrd="0" destOrd="2" presId="urn:microsoft.com/office/officeart/2005/8/layout/vList5"/>
    <dgm:cxn modelId="{D7E6E4F0-26D1-4B99-B939-890B4656D03E}" type="presOf" srcId="{FD774522-2BD3-42B9-B88A-B51E30614334}" destId="{EE088796-228B-43F5-83F6-F203483548CE}" srcOrd="0" destOrd="0" presId="urn:microsoft.com/office/officeart/2005/8/layout/vList5"/>
    <dgm:cxn modelId="{65B2B0AF-79B0-451D-AA99-3CD78ECAD972}" type="presParOf" srcId="{6CE7C18A-7926-42CD-B85C-54940C0595F9}" destId="{E209C996-4B77-4210-BD66-DC61B069CD2D}" srcOrd="0" destOrd="0" presId="urn:microsoft.com/office/officeart/2005/8/layout/vList5"/>
    <dgm:cxn modelId="{6E689321-EF0B-47B9-992F-AAEA09F2122A}" type="presParOf" srcId="{E209C996-4B77-4210-BD66-DC61B069CD2D}" destId="{36E2940A-58CA-453F-A0D7-4F40068839A0}" srcOrd="0" destOrd="0" presId="urn:microsoft.com/office/officeart/2005/8/layout/vList5"/>
    <dgm:cxn modelId="{6CCFED56-A927-443F-B6E5-5C5A1FCE342B}" type="presParOf" srcId="{E209C996-4B77-4210-BD66-DC61B069CD2D}" destId="{5F7B3972-E14B-4C41-BE80-A2C55FC1EC38}" srcOrd="1" destOrd="0" presId="urn:microsoft.com/office/officeart/2005/8/layout/vList5"/>
    <dgm:cxn modelId="{0DC9F69F-D365-48A5-AF2C-0821B494DDC5}" type="presParOf" srcId="{6CE7C18A-7926-42CD-B85C-54940C0595F9}" destId="{DABA3049-541F-4BBC-A815-1B0DE7FAAC82}" srcOrd="1" destOrd="0" presId="urn:microsoft.com/office/officeart/2005/8/layout/vList5"/>
    <dgm:cxn modelId="{E0C11403-17F9-4584-98BA-73ECDBE0CFCE}" type="presParOf" srcId="{6CE7C18A-7926-42CD-B85C-54940C0595F9}" destId="{84CD3B28-46CA-431A-9E85-FF6FF4BF1570}" srcOrd="2" destOrd="0" presId="urn:microsoft.com/office/officeart/2005/8/layout/vList5"/>
    <dgm:cxn modelId="{4D7BA85F-C332-43A1-82C7-E5A75CDED936}" type="presParOf" srcId="{84CD3B28-46CA-431A-9E85-FF6FF4BF1570}" destId="{E658410C-3EC8-4A83-84D4-B99B27A3BB22}" srcOrd="0" destOrd="0" presId="urn:microsoft.com/office/officeart/2005/8/layout/vList5"/>
    <dgm:cxn modelId="{209D780F-3EF8-4307-BDF0-41C8C6EDA6A2}" type="presParOf" srcId="{84CD3B28-46CA-431A-9E85-FF6FF4BF1570}" destId="{91FAA2B7-BAFC-4F6B-81AF-E0A46007A2F5}" srcOrd="1" destOrd="0" presId="urn:microsoft.com/office/officeart/2005/8/layout/vList5"/>
    <dgm:cxn modelId="{B99FA323-C65C-4C01-82D3-C666FC0456B4}" type="presParOf" srcId="{6CE7C18A-7926-42CD-B85C-54940C0595F9}" destId="{F26BEADF-3A06-4401-A1E0-AD09A0684733}" srcOrd="3" destOrd="0" presId="urn:microsoft.com/office/officeart/2005/8/layout/vList5"/>
    <dgm:cxn modelId="{560BAD4A-7B39-4F41-A3C6-23EB70ADD964}" type="presParOf" srcId="{6CE7C18A-7926-42CD-B85C-54940C0595F9}" destId="{B060BEF5-88A0-4127-8FD6-A229BDE16EF6}" srcOrd="4" destOrd="0" presId="urn:microsoft.com/office/officeart/2005/8/layout/vList5"/>
    <dgm:cxn modelId="{6CC0929B-5358-4581-BB9C-F19FFF036CB1}" type="presParOf" srcId="{B060BEF5-88A0-4127-8FD6-A229BDE16EF6}" destId="{B6D38D60-28B7-46DF-8B5B-968D0B457714}" srcOrd="0" destOrd="0" presId="urn:microsoft.com/office/officeart/2005/8/layout/vList5"/>
    <dgm:cxn modelId="{396CC4E6-F1E6-4087-8AF9-06C78F4D2F87}" type="presParOf" srcId="{B060BEF5-88A0-4127-8FD6-A229BDE16EF6}" destId="{EE088796-228B-43F5-83F6-F203483548CE}" srcOrd="1" destOrd="0" presId="urn:microsoft.com/office/officeart/2005/8/layout/vList5"/>
    <dgm:cxn modelId="{B4262886-45DF-459B-82FB-592363F38D2C}" type="presParOf" srcId="{6CE7C18A-7926-42CD-B85C-54940C0595F9}" destId="{554FB55E-ED0B-489E-B1B8-65F83E122D65}" srcOrd="5" destOrd="0" presId="urn:microsoft.com/office/officeart/2005/8/layout/vList5"/>
    <dgm:cxn modelId="{1E8EDB0B-757F-4D9B-A6CF-04E6BC7CFD74}" type="presParOf" srcId="{6CE7C18A-7926-42CD-B85C-54940C0595F9}" destId="{E2A1C1B5-2E42-48A9-8FEA-EB21A643370A}" srcOrd="6" destOrd="0" presId="urn:microsoft.com/office/officeart/2005/8/layout/vList5"/>
    <dgm:cxn modelId="{3515AF92-9EF7-425F-8DA0-74A63375FD40}" type="presParOf" srcId="{E2A1C1B5-2E42-48A9-8FEA-EB21A643370A}" destId="{D9A9A0AF-35B1-4977-9C07-99CEE99F44CC}" srcOrd="0" destOrd="0" presId="urn:microsoft.com/office/officeart/2005/8/layout/vList5"/>
    <dgm:cxn modelId="{322FFD02-AF26-43CF-975A-A770D16F2BEB}" type="presParOf" srcId="{E2A1C1B5-2E42-48A9-8FEA-EB21A643370A}" destId="{9A8465CB-AF42-4C09-B78B-99996BA46EA5}" srcOrd="1" destOrd="0" presId="urn:microsoft.com/office/officeart/2005/8/layout/vList5"/>
    <dgm:cxn modelId="{57A934F3-9BBE-4310-A3CE-94A9B42ECFF4}" type="presParOf" srcId="{6CE7C18A-7926-42CD-B85C-54940C0595F9}" destId="{70E68657-E0AD-4682-875C-FDA4D9D96463}" srcOrd="7" destOrd="0" presId="urn:microsoft.com/office/officeart/2005/8/layout/vList5"/>
    <dgm:cxn modelId="{E0D83F4B-AC9D-4071-826A-9D7D91290288}" type="presParOf" srcId="{6CE7C18A-7926-42CD-B85C-54940C0595F9}" destId="{71289D25-51D9-419D-8036-24AF1D06EFF1}" srcOrd="8" destOrd="0" presId="urn:microsoft.com/office/officeart/2005/8/layout/vList5"/>
    <dgm:cxn modelId="{A9A29A59-5152-498C-A29C-F9D5305EACA9}" type="presParOf" srcId="{71289D25-51D9-419D-8036-24AF1D06EFF1}" destId="{D3D71AAD-AC9A-4627-A246-454706FB09BE}" srcOrd="0" destOrd="0" presId="urn:microsoft.com/office/officeart/2005/8/layout/vList5"/>
    <dgm:cxn modelId="{02691625-7512-494A-AF4F-28FDC779B226}" type="presParOf" srcId="{71289D25-51D9-419D-8036-24AF1D06EFF1}" destId="{437E0880-B377-47DC-ACE0-457850F6150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7B3972-E14B-4C41-BE80-A2C55FC1EC38}">
      <dsp:nvSpPr>
        <dsp:cNvPr id="0" name=""/>
        <dsp:cNvSpPr/>
      </dsp:nvSpPr>
      <dsp:spPr>
        <a:xfrm rot="5400000">
          <a:off x="5410340" y="-2537602"/>
          <a:ext cx="1105743" cy="618626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Sent to the building or the company address (as per Companies House or the Ratepayer requirements)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Details the address the charge relates to, the Rateable Value and the charge for the financial year, including any reliefs applied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Details the payment method and the dates in which the monthly instalments are due to maintain correct billing.</a:t>
          </a: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870077" y="56639"/>
        <a:ext cx="6132291" cy="997787"/>
      </dsp:txXfrm>
    </dsp:sp>
    <dsp:sp modelId="{36E2940A-58CA-453F-A0D7-4F40068839A0}">
      <dsp:nvSpPr>
        <dsp:cNvPr id="0" name=""/>
        <dsp:cNvSpPr/>
      </dsp:nvSpPr>
      <dsp:spPr>
        <a:xfrm>
          <a:off x="545134" y="27099"/>
          <a:ext cx="2324943" cy="10568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Demand Notice</a:t>
          </a:r>
        </a:p>
      </dsp:txBody>
      <dsp:txXfrm>
        <a:off x="596726" y="78691"/>
        <a:ext cx="2221759" cy="953681"/>
      </dsp:txXfrm>
    </dsp:sp>
    <dsp:sp modelId="{91FAA2B7-BAFC-4F6B-81AF-E0A46007A2F5}">
      <dsp:nvSpPr>
        <dsp:cNvPr id="0" name=""/>
        <dsp:cNvSpPr/>
      </dsp:nvSpPr>
      <dsp:spPr>
        <a:xfrm rot="5400000">
          <a:off x="5563875" y="-1406478"/>
          <a:ext cx="845492" cy="619231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Sent to businesses who have missed an instalment.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Final notices are sent to accounts which have defaulted twice in a financial year even if they have caught back up to date from the 1st Reminder notice </a:t>
          </a: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890463" y="1308208"/>
        <a:ext cx="6151042" cy="762944"/>
      </dsp:txXfrm>
    </dsp:sp>
    <dsp:sp modelId="{E658410C-3EC8-4A83-84D4-B99B27A3BB22}">
      <dsp:nvSpPr>
        <dsp:cNvPr id="0" name=""/>
        <dsp:cNvSpPr/>
      </dsp:nvSpPr>
      <dsp:spPr>
        <a:xfrm>
          <a:off x="545134" y="1161247"/>
          <a:ext cx="2345328" cy="10568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Reminder and Final Notice</a:t>
          </a:r>
        </a:p>
      </dsp:txBody>
      <dsp:txXfrm>
        <a:off x="596726" y="1212839"/>
        <a:ext cx="2242144" cy="953681"/>
      </dsp:txXfrm>
    </dsp:sp>
    <dsp:sp modelId="{EE088796-228B-43F5-83F6-F203483548CE}">
      <dsp:nvSpPr>
        <dsp:cNvPr id="0" name=""/>
        <dsp:cNvSpPr/>
      </dsp:nvSpPr>
      <dsp:spPr>
        <a:xfrm rot="5400000">
          <a:off x="5563840" y="-296769"/>
          <a:ext cx="845492" cy="619231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The instalment option is now removed and the bill for the remaining years charge is now due in a single instlament.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Payment to bring clear the Rates charge will not incur costs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All contact which may have been received by the Council from the Ratepayer, is checked to make sure that the charge is accuate.</a:t>
          </a: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890428" y="2417917"/>
        <a:ext cx="6151042" cy="762944"/>
      </dsp:txXfrm>
    </dsp:sp>
    <dsp:sp modelId="{B6D38D60-28B7-46DF-8B5B-968D0B457714}">
      <dsp:nvSpPr>
        <dsp:cNvPr id="0" name=""/>
        <dsp:cNvSpPr/>
      </dsp:nvSpPr>
      <dsp:spPr>
        <a:xfrm>
          <a:off x="545134" y="2270956"/>
          <a:ext cx="2345293" cy="10568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Pre-Summons</a:t>
          </a:r>
        </a:p>
      </dsp:txBody>
      <dsp:txXfrm>
        <a:off x="596726" y="2322548"/>
        <a:ext cx="2242109" cy="953681"/>
      </dsp:txXfrm>
    </dsp:sp>
    <dsp:sp modelId="{9A8465CB-AF42-4C09-B78B-99996BA46EA5}">
      <dsp:nvSpPr>
        <dsp:cNvPr id="0" name=""/>
        <dsp:cNvSpPr/>
      </dsp:nvSpPr>
      <dsp:spPr>
        <a:xfrm rot="5400000">
          <a:off x="5540085" y="812939"/>
          <a:ext cx="845492" cy="619231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£80 is applied to an account as to cover the councils cost of collection charge.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  <a:endParaRPr lang="en-GB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Last chance to pay the account before it is registered at the Magaistrates Court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Details the date of court. Businesses can send a representative to the court if they feel that they have a legal defense to not paying the demand notice. Poor trading period is not legal defence.</a:t>
          </a: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866673" y="3527625"/>
        <a:ext cx="6151042" cy="762944"/>
      </dsp:txXfrm>
    </dsp:sp>
    <dsp:sp modelId="{D9A9A0AF-35B1-4977-9C07-99CEE99F44CC}">
      <dsp:nvSpPr>
        <dsp:cNvPr id="0" name=""/>
        <dsp:cNvSpPr/>
      </dsp:nvSpPr>
      <dsp:spPr>
        <a:xfrm>
          <a:off x="545134" y="3380665"/>
          <a:ext cx="2321538" cy="10568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Summons</a:t>
          </a:r>
        </a:p>
      </dsp:txBody>
      <dsp:txXfrm>
        <a:off x="596726" y="3432257"/>
        <a:ext cx="2218354" cy="953681"/>
      </dsp:txXfrm>
    </dsp:sp>
    <dsp:sp modelId="{437E0880-B377-47DC-ACE0-457850F61507}">
      <dsp:nvSpPr>
        <dsp:cNvPr id="0" name=""/>
        <dsp:cNvSpPr/>
      </dsp:nvSpPr>
      <dsp:spPr>
        <a:xfrm rot="5400000">
          <a:off x="5611455" y="1922648"/>
          <a:ext cx="845492" cy="619231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Further costs of £50 are applied to the account for the cost incurred of registering the debt with the Magistates</a:t>
          </a: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r>
            <a:rPr lang="en-US" sz="1200" b="0" i="0" u="none" kern="1200">
              <a:latin typeface="Arial" panose="020B0604020202020204" pitchFamily="34" charset="0"/>
              <a:cs typeface="Arial" panose="020B0604020202020204" pitchFamily="34" charset="0"/>
            </a:rPr>
            <a:t>Allows the Council to take a variety of options to collect the debt due. Examples are Enforcement Agent referral, Special arrangement, insolvency and in extreme cases prison.</a:t>
          </a:r>
          <a:endParaRPr lang="en-US" sz="12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3600" b="0" i="0" kern="1200"/>
        </a:p>
      </dsp:txBody>
      <dsp:txXfrm rot="-5400000">
        <a:off x="2938043" y="4637334"/>
        <a:ext cx="6151042" cy="762944"/>
      </dsp:txXfrm>
    </dsp:sp>
    <dsp:sp modelId="{D3D71AAD-AC9A-4627-A246-454706FB09BE}">
      <dsp:nvSpPr>
        <dsp:cNvPr id="0" name=""/>
        <dsp:cNvSpPr/>
      </dsp:nvSpPr>
      <dsp:spPr>
        <a:xfrm>
          <a:off x="545134" y="4490374"/>
          <a:ext cx="2392908" cy="10568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Arial" panose="020B0604020202020204" pitchFamily="34" charset="0"/>
              <a:cs typeface="Arial" panose="020B0604020202020204" pitchFamily="34" charset="0"/>
            </a:rPr>
            <a:t>Liability Order</a:t>
          </a:r>
        </a:p>
      </dsp:txBody>
      <dsp:txXfrm>
        <a:off x="596726" y="4541966"/>
        <a:ext cx="2289724" cy="953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A42EE953-8D8E-4449-BB53-D694E24F66AB}">
    <t:Anchor>
      <t:Comment id="361054997"/>
    </t:Anchor>
    <t:History>
      <t:Event id="{50B67CDD-B41C-41F7-84F2-26973A412E11}" time="2024-11-25T16:49:10.643Z">
        <t:Attribution userId="S::pmcgaskill@oxford.gov.uk::07c2ce1b-0ad3-4e3e-9022-716e179423d0" userProvider="AD" userName="McGaskill Philip"/>
        <t:Anchor>
          <t:Comment id="361054997"/>
        </t:Anchor>
        <t:Create/>
      </t:Event>
      <t:Event id="{04A01427-75FE-4C79-926E-7F2F867AC1CB}" time="2024-11-25T16:49:10.643Z">
        <t:Attribution userId="S::pmcgaskill@oxford.gov.uk::07c2ce1b-0ad3-4e3e-9022-716e179423d0" userProvider="AD" userName="McGaskill Philip"/>
        <t:Anchor>
          <t:Comment id="361054997"/>
        </t:Anchor>
        <t:Assign userId="S::nkennedy@oxford.gov.uk::a8126906-c722-4042-abe1-8ffc3c4985cd" userProvider="AD" userName="KENNEDY Nigel"/>
      </t:Event>
      <t:Event id="{0C6AB777-35D7-4AAE-B886-9E241DCBCF9E}" time="2024-11-25T16:49:10.643Z">
        <t:Attribution userId="S::pmcgaskill@oxford.gov.uk::07c2ce1b-0ad3-4e3e-9022-716e179423d0" userProvider="AD" userName="McGaskill Philip"/>
        <t:Anchor>
          <t:Comment id="361054997"/>
        </t:Anchor>
        <t:SetTitle title="@KENNEDY Nigel I've fixed the report and made the changes you requested, but no matter how many times I read this paragraph, I'm not sure what it is saying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744C-E757-4A1A-9457-6C5197DF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11778</Characters>
  <Application>Microsoft Office Word</Application>
  <DocSecurity>0</DocSecurity>
  <Lines>98</Lines>
  <Paragraphs>27</Paragraphs>
  <ScaleCrop>false</ScaleCrop>
  <Company>Oxford City Council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sclaridge</dc:creator>
  <cp:keywords/>
  <cp:lastModifiedBy>REYESLAO Celeste</cp:lastModifiedBy>
  <cp:revision>2</cp:revision>
  <cp:lastPrinted>2015-07-03T13:50:00Z</cp:lastPrinted>
  <dcterms:created xsi:type="dcterms:W3CDTF">2024-11-26T12:25:00Z</dcterms:created>
  <dcterms:modified xsi:type="dcterms:W3CDTF">2024-11-26T12:25:00Z</dcterms:modified>
</cp:coreProperties>
</file>